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240" w:line="276" w:lineRule="auto"/>
        <w:jc w:val="both"/>
        <w:rPr>
          <w:rFonts w:ascii="Trebuchet MS" w:cs="Trebuchet MS" w:eastAsia="Trebuchet MS" w:hAnsi="Trebuchet MS"/>
          <w:color w:val="2e74b5"/>
          <w:sz w:val="28"/>
          <w:szCs w:val="28"/>
        </w:rPr>
      </w:pPr>
      <w:bookmarkStart w:colFirst="0" w:colLast="0" w:name="_heading=h.gjdgxs" w:id="0"/>
      <w:bookmarkEnd w:id="0"/>
      <w:r w:rsidDel="00000000" w:rsidR="00000000" w:rsidRPr="00000000">
        <w:rPr>
          <w:rFonts w:ascii="Trebuchet MS" w:cs="Trebuchet MS" w:eastAsia="Trebuchet MS" w:hAnsi="Trebuchet MS"/>
          <w:b w:val="1"/>
          <w:color w:val="2e74b5"/>
          <w:sz w:val="28"/>
          <w:szCs w:val="28"/>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Trebuchet MS" w:cs="Trebuchet MS" w:eastAsia="Trebuchet MS" w:hAnsi="Trebuchet MS"/>
          <w:color w:val="2e74b5"/>
          <w:sz w:val="28"/>
          <w:szCs w:val="28"/>
          <w:rtl w:val="0"/>
        </w:rPr>
        <w:t xml:space="preserve">Lisa. Analüüsiraamistik  </w:t>
      </w:r>
    </w:p>
    <w:p w:rsidR="00000000" w:rsidDel="00000000" w:rsidP="00000000" w:rsidRDefault="00000000" w:rsidRPr="00000000" w14:paraId="00000002">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Kuigi analüüsiraamstiku kujundamise peamine töö oli suunatud oktoobrisse, siis uuringu tegeliku teostamise käigus ilmnes vajadus raamstiku peamised piirid määratleda juba enne kaardistava etapiga alustamist. Kuivõrd raamstiku alusel hakatakse eelhindama regionaalse valitsemise alternatiivmudelite võimalikke mõjusid, siis peaksid I ja II etapi sisendid maksimaalselt panustama faktimaterjaliga just raamstiku formaadis. Selle tõttu pidas uurimisrühm vajalikuks alguses põhjalikumalt tegeleda uurimisraamstikuga. </w:t>
      </w:r>
    </w:p>
    <w:p w:rsidR="00000000" w:rsidDel="00000000" w:rsidP="00000000" w:rsidRDefault="00000000" w:rsidRPr="00000000" w14:paraId="00000004">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spacing w:line="240" w:lineRule="auto"/>
        <w:jc w:val="both"/>
        <w:rPr>
          <w:rFonts w:ascii="Calibri" w:cs="Calibri" w:eastAsia="Calibri" w:hAnsi="Calibri"/>
        </w:rPr>
      </w:pPr>
      <w:r w:rsidDel="00000000" w:rsidR="00000000" w:rsidRPr="00000000">
        <w:rPr>
          <w:rtl w:val="0"/>
        </w:rPr>
      </w:r>
    </w:p>
    <w:tbl>
      <w:tblPr>
        <w:tblStyle w:val="Table1"/>
        <w:tblW w:w="9060.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2520"/>
        <w:gridCol w:w="6540"/>
        <w:tblGridChange w:id="0">
          <w:tblGrid>
            <w:gridCol w:w="2520"/>
            <w:gridCol w:w="6540"/>
          </w:tblGrid>
        </w:tblGridChange>
      </w:tblGrid>
      <w:tr>
        <w:trPr>
          <w:trHeight w:val="623"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06">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Analüüsikomponendid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0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Alternatiivid</w:t>
            </w:r>
            <w:r w:rsidDel="00000000" w:rsidR="00000000" w:rsidRPr="00000000">
              <w:rPr>
                <w:rtl w:val="0"/>
              </w:rPr>
            </w:r>
          </w:p>
        </w:tc>
      </w:tr>
      <w:tr>
        <w:trPr>
          <w:trHeight w:val="87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Regionaalse juhtimistasandi ülesanded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09">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Nimetada ülesanded ja määratleda nende puhul järgnevad aspektid: </w:t>
            </w:r>
          </w:p>
          <w:p w:rsidR="00000000" w:rsidDel="00000000" w:rsidP="00000000" w:rsidRDefault="00000000" w:rsidRPr="00000000" w14:paraId="0000000A">
            <w:pPr>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1.1. Riiklik või omavalitsuslik ülesanne</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riiklik ülesanne (tsentraliseeritud)</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omavaitsuslik ülesanne (sh KOV koostöös täidetavad ülesanded)  (detsentraliseeritud)</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jagatud ülesanne riigi ja KOV (üks KOV) vahel [sh jagatud ülesanne riigi ja KOVde  (mitmed KOVd) koostöös]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1.2. Ülesande iseloom</w:t>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koordineerivad (sh planeerivad, strateegia kavandamine jt) </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teenuste tagamine (korraldamine, osutamine) </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1.3. Mastaap (Eesti uuring) ülesannete täitmiseks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numPr>
                <w:ilvl w:val="0"/>
                <w:numId w:val="1"/>
              </w:numPr>
              <w:spacing w:line="240" w:lineRule="auto"/>
              <w:ind w:left="360" w:hanging="360"/>
              <w:rPr>
                <w:sz w:val="24"/>
                <w:szCs w:val="24"/>
              </w:rPr>
            </w:pPr>
            <w:r w:rsidDel="00000000" w:rsidR="00000000" w:rsidRPr="00000000">
              <w:rPr>
                <w:rFonts w:ascii="Times New Roman" w:cs="Times New Roman" w:eastAsia="Times New Roman" w:hAnsi="Times New Roman"/>
                <w:sz w:val="24"/>
                <w:szCs w:val="24"/>
                <w:rtl w:val="0"/>
              </w:rPr>
              <w:t xml:space="preserve">kliendibaas </w:t>
            </w:r>
            <w:r w:rsidDel="00000000" w:rsidR="00000000" w:rsidRPr="00000000">
              <w:rPr>
                <w:rtl w:val="0"/>
              </w:rPr>
            </w:r>
          </w:p>
          <w:p w:rsidR="00000000" w:rsidDel="00000000" w:rsidP="00000000" w:rsidRDefault="00000000" w:rsidRPr="00000000" w14:paraId="00000016">
            <w:pPr>
              <w:numPr>
                <w:ilvl w:val="0"/>
                <w:numId w:val="1"/>
              </w:numPr>
              <w:spacing w:line="240" w:lineRule="auto"/>
              <w:ind w:left="360" w:hanging="360"/>
              <w:rPr>
                <w:sz w:val="24"/>
                <w:szCs w:val="24"/>
              </w:rPr>
            </w:pPr>
            <w:r w:rsidDel="00000000" w:rsidR="00000000" w:rsidRPr="00000000">
              <w:rPr>
                <w:rFonts w:ascii="Times New Roman" w:cs="Times New Roman" w:eastAsia="Times New Roman" w:hAnsi="Times New Roman"/>
                <w:sz w:val="24"/>
                <w:szCs w:val="24"/>
                <w:rtl w:val="0"/>
              </w:rPr>
              <w:t xml:space="preserve">territooriumi suurus (kättesaadavuse aspektist ja kvaliteedi aspektist – kas peab olema võimalikult lähedal või võimalikult kvaliteetne)</w:t>
            </w: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1.4. Tsentraliseerida või detsentraliseerida või (de)kontsentreerida:</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Regionaaltasandi ülesannete päritolu (Eest uuring):</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Laiendada olemasolevate ülesannete ringi riigi keskvalitsuse ülesannete arvelt</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Laiendada olemasolevate KOV iseseisvalt täidetavate ülesannete baasil, mis delegeeritakse esmatasandilt regionaalsele tasandile</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Kitsendada olemasolevate  ühiselt täidetavate ülesannete tsentraliseerimisega riigi tasandile</w:t>
            </w:r>
          </w:p>
        </w:tc>
      </w:tr>
      <w:tr>
        <w:trPr>
          <w:trHeight w:val="18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Juhtimise/valitsemise </w:t>
            </w:r>
            <w:r w:rsidDel="00000000" w:rsidR="00000000" w:rsidRPr="00000000">
              <w:rPr>
                <w:rFonts w:ascii="Times New Roman" w:cs="Times New Roman" w:eastAsia="Times New Roman" w:hAnsi="Times New Roman"/>
                <w:b w:val="1"/>
                <w:sz w:val="24"/>
                <w:szCs w:val="24"/>
                <w:rtl w:val="0"/>
              </w:rPr>
              <w:t xml:space="preserve">õiguslik vorm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Avalik-õiguslik (avaliku võimu volitustega vorm): 1) iseseisev või 2) avalik-õigusliku struktuuris (ühisamet, ühisasutus) </w:t>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Eraõiguslik (eraõiguslikul alusel toimiv koostöövorm) </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Eraõiguslik seadustest tulenevate eripädevustega vorm (nt vastavalt kohalike omavalitsuste liitude seadusele on omavalitsusliidud küll MTÜ-d, kuid teatavate eripädevustega). </w:t>
            </w:r>
          </w:p>
        </w:tc>
      </w:tr>
      <w:tr>
        <w:trPr>
          <w:trHeight w:val="30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Regionaalse tasandi juhtimise/</w:t>
            </w:r>
            <w:r w:rsidDel="00000000" w:rsidR="00000000" w:rsidRPr="00000000">
              <w:rPr>
                <w:rFonts w:ascii="Times New Roman" w:cs="Times New Roman" w:eastAsia="Times New Roman" w:hAnsi="Times New Roman"/>
                <w:b w:val="1"/>
                <w:sz w:val="24"/>
                <w:szCs w:val="24"/>
                <w:rtl w:val="0"/>
              </w:rPr>
              <w:t xml:space="preserve">valitsemise organisatoorne </w:t>
            </w:r>
            <w:r w:rsidDel="00000000" w:rsidR="00000000" w:rsidRPr="00000000">
              <w:rPr>
                <w:rFonts w:ascii="Times New Roman" w:cs="Times New Roman" w:eastAsia="Times New Roman" w:hAnsi="Times New Roman"/>
                <w:sz w:val="24"/>
                <w:szCs w:val="24"/>
                <w:rtl w:val="0"/>
              </w:rPr>
              <w:t xml:space="preserve">vorm</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2">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3.1. Monofunktsionaalne või multifunktsionaalne </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üks funktsioon</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mitu funktsiooni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3.2. Organisatsiooniline mitmekesisus</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üks keskne organisatsioon (mitme funktsiooni/ valdkonna peale)</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mitu organisatsiooni (iga eraldi funktsiooni peale)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koordineeriv organisatsioon (koordineerib ühe ja mitmefunktsioonilisi organisatsioone): 1) keskne organisatsioon, 2)võrgustikuline koostöö </w:t>
            </w:r>
          </w:p>
        </w:tc>
      </w:tr>
      <w:tr>
        <w:trPr>
          <w:trHeight w:val="12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Regionaalse tasandi </w:t>
            </w:r>
            <w:r w:rsidDel="00000000" w:rsidR="00000000" w:rsidRPr="00000000">
              <w:rPr>
                <w:rFonts w:ascii="Times New Roman" w:cs="Times New Roman" w:eastAsia="Times New Roman" w:hAnsi="Times New Roman"/>
                <w:b w:val="1"/>
                <w:sz w:val="24"/>
                <w:szCs w:val="24"/>
                <w:rtl w:val="0"/>
              </w:rPr>
              <w:t xml:space="preserve">juhtimise/ valitsemise</w:t>
            </w:r>
            <w:r w:rsidDel="00000000" w:rsidR="00000000" w:rsidRPr="00000000">
              <w:rPr>
                <w:rFonts w:ascii="Times New Roman" w:cs="Times New Roman" w:eastAsia="Times New Roman" w:hAnsi="Times New Roman"/>
                <w:sz w:val="24"/>
                <w:szCs w:val="24"/>
                <w:rtl w:val="0"/>
              </w:rPr>
              <w:t xml:space="preserve"> organisse </w:t>
            </w:r>
            <w:r w:rsidDel="00000000" w:rsidR="00000000" w:rsidRPr="00000000">
              <w:rPr>
                <w:rFonts w:ascii="Times New Roman" w:cs="Times New Roman" w:eastAsia="Times New Roman" w:hAnsi="Times New Roman"/>
                <w:b w:val="1"/>
                <w:sz w:val="24"/>
                <w:szCs w:val="24"/>
                <w:rtl w:val="0"/>
              </w:rPr>
              <w:t xml:space="preserve">kaasatud subjektid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B">
            <w:pPr>
              <w:numPr>
                <w:ilvl w:val="0"/>
                <w:numId w:val="5"/>
              </w:numP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KOV üksused</w:t>
            </w:r>
          </w:p>
          <w:p w:rsidR="00000000" w:rsidDel="00000000" w:rsidP="00000000" w:rsidRDefault="00000000" w:rsidRPr="00000000" w14:paraId="0000002C">
            <w:pPr>
              <w:numPr>
                <w:ilvl w:val="0"/>
                <w:numId w:val="5"/>
              </w:numP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KOV ja riik</w:t>
            </w:r>
          </w:p>
          <w:p w:rsidR="00000000" w:rsidDel="00000000" w:rsidP="00000000" w:rsidRDefault="00000000" w:rsidRPr="00000000" w14:paraId="0000002D">
            <w:pPr>
              <w:numPr>
                <w:ilvl w:val="0"/>
                <w:numId w:val="5"/>
              </w:numPr>
              <w:spacing w:after="16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KOV, riik ja erasektor/ MTÜ (nt hübriidsed mitme-kihilised sotsiaal-majanduslikud nõukogud)</w:t>
            </w:r>
          </w:p>
        </w:tc>
      </w:tr>
      <w:tr>
        <w:trPr>
          <w:trHeight w:val="42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Regionaalses juhtimises/valitsemises osalemise laad </w:t>
            </w:r>
            <w:r w:rsidDel="00000000" w:rsidR="00000000" w:rsidRPr="00000000">
              <w:rPr>
                <w:rFonts w:ascii="Times New Roman" w:cs="Times New Roman" w:eastAsia="Times New Roman" w:hAnsi="Times New Roman"/>
                <w:b w:val="1"/>
                <w:sz w:val="24"/>
                <w:szCs w:val="24"/>
                <w:rtl w:val="0"/>
              </w:rPr>
              <w:t xml:space="preserve">koostööstruktuuride</w:t>
            </w:r>
            <w:r w:rsidDel="00000000" w:rsidR="00000000" w:rsidRPr="00000000">
              <w:rPr>
                <w:rFonts w:ascii="Times New Roman" w:cs="Times New Roman" w:eastAsia="Times New Roman" w:hAnsi="Times New Roman"/>
                <w:sz w:val="24"/>
                <w:szCs w:val="24"/>
                <w:rtl w:val="0"/>
              </w:rPr>
              <w:t xml:space="preserve"> korral </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5.1. Kohutuslikkus:</w:t>
            </w:r>
          </w:p>
          <w:p w:rsidR="00000000" w:rsidDel="00000000" w:rsidP="00000000" w:rsidRDefault="00000000" w:rsidRPr="00000000" w14:paraId="00000030">
            <w:pPr>
              <w:numPr>
                <w:ilvl w:val="0"/>
                <w:numId w:val="7"/>
              </w:numP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Vabatahtlik: 1) riigi toetusmeetmed, mis soosivad või 2) täiesti omaalgatuslik </w:t>
            </w:r>
          </w:p>
          <w:p w:rsidR="00000000" w:rsidDel="00000000" w:rsidP="00000000" w:rsidRDefault="00000000" w:rsidRPr="00000000" w14:paraId="00000031">
            <w:pPr>
              <w:numPr>
                <w:ilvl w:val="0"/>
                <w:numId w:val="7"/>
              </w:numP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Kohustuslik</w:t>
            </w:r>
          </w:p>
          <w:p w:rsidR="00000000" w:rsidDel="00000000" w:rsidP="00000000" w:rsidRDefault="00000000" w:rsidRPr="00000000" w14:paraId="00000032">
            <w:pPr>
              <w:numPr>
                <w:ilvl w:val="0"/>
                <w:numId w:val="7"/>
              </w:numPr>
              <w:spacing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Tingimuslikult kohustuslik (nt teatud elanike arvu puhul tekib koostöö kohustus)</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5.2. Koostööstruktuurid (Hulst ja Monfort): </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lepinguline koostöö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teenuse osutamise/ korraldamine organisatsioon: 1) eraõiguslik vorm, 2) avalik-õiguslik vorm </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foorum-tüüpi (võrgustikupõhine)</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pool-regionaalne (eriõigustega püsiv koostööorgan)</w:t>
            </w:r>
          </w:p>
        </w:tc>
      </w:tr>
      <w:tr>
        <w:trPr>
          <w:trHeight w:val="90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3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b w:val="1"/>
                <w:sz w:val="24"/>
                <w:szCs w:val="24"/>
                <w:rtl w:val="0"/>
              </w:rPr>
              <w:t xml:space="preserve">Otsuste vastuvõtmise</w:t>
            </w:r>
            <w:r w:rsidDel="00000000" w:rsidR="00000000" w:rsidRPr="00000000">
              <w:rPr>
                <w:rFonts w:ascii="Times New Roman" w:cs="Times New Roman" w:eastAsia="Times New Roman" w:hAnsi="Times New Roman"/>
                <w:sz w:val="24"/>
                <w:szCs w:val="24"/>
                <w:rtl w:val="0"/>
              </w:rPr>
              <w:t xml:space="preserve"> mehhanismid/ otsustuskogu koosseis</w:t>
            </w:r>
          </w:p>
          <w:p w:rsidR="00000000" w:rsidDel="00000000" w:rsidP="00000000" w:rsidRDefault="00000000" w:rsidRPr="00000000" w14:paraId="0000003A">
            <w:pPr>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6.1. Otsustamise häältejaotuse alus: </w:t>
            </w:r>
          </w:p>
          <w:p w:rsidR="00000000" w:rsidDel="00000000" w:rsidP="00000000" w:rsidRDefault="00000000" w:rsidRPr="00000000" w14:paraId="0000003C">
            <w:pPr>
              <w:numPr>
                <w:ilvl w:val="0"/>
                <w:numId w:val="3"/>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Koostöös osalev üksus (KOV, ettevõte, riik) </w:t>
            </w:r>
          </w:p>
          <w:p w:rsidR="00000000" w:rsidDel="00000000" w:rsidP="00000000" w:rsidRDefault="00000000" w:rsidRPr="00000000" w14:paraId="0000003D">
            <w:pPr>
              <w:numPr>
                <w:ilvl w:val="0"/>
                <w:numId w:val="3"/>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Elanike arv (osaleva üksuse esindavus)</w:t>
            </w:r>
          </w:p>
          <w:p w:rsidR="00000000" w:rsidDel="00000000" w:rsidP="00000000" w:rsidRDefault="00000000" w:rsidRPr="00000000" w14:paraId="0000003E">
            <w:pPr>
              <w:numPr>
                <w:ilvl w:val="0"/>
                <w:numId w:val="3"/>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Kombineeritud</w:t>
            </w:r>
          </w:p>
          <w:p w:rsidR="00000000" w:rsidDel="00000000" w:rsidP="00000000" w:rsidRDefault="00000000" w:rsidRPr="00000000" w14:paraId="0000003F">
            <w:pPr>
              <w:numPr>
                <w:ilvl w:val="0"/>
                <w:numId w:val="3"/>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Muu, tuua välja</w:t>
            </w:r>
          </w:p>
          <w:p w:rsidR="00000000" w:rsidDel="00000000" w:rsidP="00000000" w:rsidRDefault="00000000" w:rsidRPr="00000000" w14:paraId="00000040">
            <w:pPr>
              <w:spacing w:line="24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6.2. Otsustamine kvalifitseeritud häälteenamusega või konsensus</w:t>
            </w:r>
          </w:p>
          <w:p w:rsidR="00000000" w:rsidDel="00000000" w:rsidP="00000000" w:rsidRDefault="00000000" w:rsidRPr="00000000" w14:paraId="0000004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konsensus </w:t>
            </w:r>
          </w:p>
          <w:p w:rsidR="00000000" w:rsidDel="00000000" w:rsidP="00000000" w:rsidRDefault="00000000" w:rsidRPr="00000000" w14:paraId="0000004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kvalifitseeritud enamus (selgitada milline)</w:t>
            </w:r>
          </w:p>
          <w:p w:rsidR="00000000" w:rsidDel="00000000" w:rsidP="00000000" w:rsidRDefault="00000000" w:rsidRPr="00000000" w14:paraId="0000004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6.3. Otsustuskogu koosseis (igal liikmel üks hääl): </w:t>
            </w:r>
          </w:p>
          <w:p w:rsidR="00000000" w:rsidDel="00000000" w:rsidP="00000000" w:rsidRDefault="00000000" w:rsidRPr="00000000" w14:paraId="0000004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igal osalejal võrdne esindatus (üks) </w:t>
            </w:r>
          </w:p>
          <w:p w:rsidR="00000000" w:rsidDel="00000000" w:rsidP="00000000" w:rsidRDefault="00000000" w:rsidRPr="00000000" w14:paraId="0000004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esindatavusest/ suurusest vm eripärast tulenev esindatus (erinev esindajate arv) </w:t>
            </w:r>
          </w:p>
          <w:p w:rsidR="00000000" w:rsidDel="00000000" w:rsidP="00000000" w:rsidRDefault="00000000" w:rsidRPr="00000000" w14:paraId="0000004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Näited erinevate otsustamismudelite kohta:</w:t>
            </w:r>
          </w:p>
          <w:p w:rsidR="00000000" w:rsidDel="00000000" w:rsidP="00000000" w:rsidRDefault="00000000" w:rsidRPr="00000000" w14:paraId="00000049">
            <w:pPr>
              <w:numPr>
                <w:ilvl w:val="0"/>
                <w:numId w:val="2"/>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Elanike arvuga proportsionaalne häältejaotus ja häälteenamus</w:t>
            </w:r>
          </w:p>
          <w:p w:rsidR="00000000" w:rsidDel="00000000" w:rsidP="00000000" w:rsidRDefault="00000000" w:rsidRPr="00000000" w14:paraId="0000004A">
            <w:pPr>
              <w:numPr>
                <w:ilvl w:val="0"/>
                <w:numId w:val="2"/>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Elanike arvuga proportsionaalne häältejaotus ja kvalifitseeritud (nt. 2/3) häälteenamus</w:t>
            </w:r>
          </w:p>
          <w:p w:rsidR="00000000" w:rsidDel="00000000" w:rsidP="00000000" w:rsidRDefault="00000000" w:rsidRPr="00000000" w14:paraId="0000004B">
            <w:pPr>
              <w:numPr>
                <w:ilvl w:val="0"/>
                <w:numId w:val="2"/>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Häältejaotuse kombinatsioon elanike arvu ja üksuste (sh mitteterritoriaalsete partnerite) arvu proportsioonist</w:t>
            </w:r>
          </w:p>
          <w:p w:rsidR="00000000" w:rsidDel="00000000" w:rsidP="00000000" w:rsidRDefault="00000000" w:rsidRPr="00000000" w14:paraId="0000004C">
            <w:pPr>
              <w:numPr>
                <w:ilvl w:val="0"/>
                <w:numId w:val="2"/>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Konsensuslik otsustusprotsess</w:t>
            </w:r>
          </w:p>
          <w:p w:rsidR="00000000" w:rsidDel="00000000" w:rsidP="00000000" w:rsidRDefault="00000000" w:rsidRPr="00000000" w14:paraId="0000004D">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Kombineeritud reeglid, sõltuvalt küsimuse laadist (nt rahaliste kohustuste võtmine; või volikogu ainupädevuse ja muud ülesanded)</w:t>
            </w:r>
          </w:p>
        </w:tc>
      </w:tr>
      <w:tr>
        <w:trPr>
          <w:trHeight w:val="3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4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Otsustuskogu </w:t>
            </w:r>
            <w:r w:rsidDel="00000000" w:rsidR="00000000" w:rsidRPr="00000000">
              <w:rPr>
                <w:rFonts w:ascii="Times New Roman" w:cs="Times New Roman" w:eastAsia="Times New Roman" w:hAnsi="Times New Roman"/>
                <w:b w:val="1"/>
                <w:sz w:val="24"/>
                <w:szCs w:val="24"/>
                <w:rtl w:val="0"/>
              </w:rPr>
              <w:t xml:space="preserve">mandaadi päritolu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4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7.1. Mandaadi päritolu</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otsesed valimised </w:t>
            </w:r>
          </w:p>
          <w:p w:rsidR="00000000" w:rsidDel="00000000" w:rsidP="00000000" w:rsidRDefault="00000000" w:rsidRPr="00000000" w14:paraId="0000005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delegeeritud valitud organi (volikogu) poolt (kui mitu esindajat, siis kas ja kuidas on esindatud opositsioon)</w:t>
            </w:r>
          </w:p>
          <w:p w:rsidR="00000000" w:rsidDel="00000000" w:rsidP="00000000" w:rsidRDefault="00000000" w:rsidRPr="00000000" w14:paraId="0000005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nimetatud koostööorganis osaleva institutsiooni poolt (nt ministeerium, ettevõtjate liit, MTÜ-de ühendus vms) (Milline on esindaja nimetamise mehhanism?) </w:t>
            </w:r>
          </w:p>
          <w:p w:rsidR="00000000" w:rsidDel="00000000" w:rsidP="00000000" w:rsidRDefault="00000000" w:rsidRPr="00000000" w14:paraId="0000005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7.2. Mandaadi kestvus: </w:t>
            </w:r>
          </w:p>
          <w:p w:rsidR="00000000" w:rsidDel="00000000" w:rsidP="00000000" w:rsidRDefault="00000000" w:rsidRPr="00000000" w14:paraId="0000005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mitu aastat</w:t>
            </w:r>
          </w:p>
          <w:p w:rsidR="00000000" w:rsidDel="00000000" w:rsidP="00000000" w:rsidRDefault="00000000" w:rsidRPr="00000000" w14:paraId="0000005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kas vahetuvad samaaegselt </w:t>
            </w:r>
          </w:p>
        </w:tc>
      </w:tr>
      <w:tr>
        <w:trPr>
          <w:trHeight w:val="73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Regionaalse tasandi ülesannete täitmise </w:t>
            </w:r>
            <w:r w:rsidDel="00000000" w:rsidR="00000000" w:rsidRPr="00000000">
              <w:rPr>
                <w:rFonts w:ascii="Times New Roman" w:cs="Times New Roman" w:eastAsia="Times New Roman" w:hAnsi="Times New Roman"/>
                <w:b w:val="1"/>
                <w:sz w:val="24"/>
                <w:szCs w:val="24"/>
                <w:rtl w:val="0"/>
              </w:rPr>
              <w:t xml:space="preserve">tulubaas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8">
            <w:pPr>
              <w:numPr>
                <w:ilvl w:val="0"/>
                <w:numId w:val="6"/>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KOV täielik autonoomia: kõik KOV tulud laekuvad KOV üksuste eelarvetesse (läbi KOV enda tulubaasi), KOV koostöö tasandile eraldatakse vahendeid vastavalt KOV volikogu otsustele;</w:t>
            </w:r>
          </w:p>
          <w:p w:rsidR="00000000" w:rsidDel="00000000" w:rsidP="00000000" w:rsidRDefault="00000000" w:rsidRPr="00000000" w14:paraId="00000059">
            <w:pPr>
              <w:numPr>
                <w:ilvl w:val="0"/>
                <w:numId w:val="6"/>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KOV suunatud autonoomia: kõik KOV tulud laekuvad KOV üksuste eelarvetesse (läbi KOV tulubaasi), KOV koostöö tasandile eraldatakse vahendeid vähemalt seadustes sätestatud miinimummääradele (ülesannete täitmisega seotud vajadusest lähtuvalt);</w:t>
            </w:r>
          </w:p>
          <w:p w:rsidR="00000000" w:rsidDel="00000000" w:rsidP="00000000" w:rsidRDefault="00000000" w:rsidRPr="00000000" w14:paraId="0000005A">
            <w:pPr>
              <w:numPr>
                <w:ilvl w:val="0"/>
                <w:numId w:val="6"/>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riigieelarvest eraldatakse KOV eelarvesse vahendeid sihtotstarbeliselt ühiselt täidetavate valdkondlike ülesannete täitmise toetuseks (ülesandepõhiselt), mille KOV eraldab koostöö tasandile;</w:t>
            </w:r>
          </w:p>
          <w:p w:rsidR="00000000" w:rsidDel="00000000" w:rsidP="00000000" w:rsidRDefault="00000000" w:rsidRPr="00000000" w14:paraId="0000005B">
            <w:pPr>
              <w:numPr>
                <w:ilvl w:val="0"/>
                <w:numId w:val="6"/>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riigieelarvest eraldatakse KOV eelarvesse vahendeid sihtotstarbeliselt ühiselt täidetavate ülesannete täitmise toetuseks ilma valdkondliku sihtotstarbeta, mille KOV eraldab koostöö tasandile;</w:t>
            </w:r>
          </w:p>
          <w:p w:rsidR="00000000" w:rsidDel="00000000" w:rsidP="00000000" w:rsidRDefault="00000000" w:rsidRPr="00000000" w14:paraId="0000005C">
            <w:pPr>
              <w:numPr>
                <w:ilvl w:val="0"/>
                <w:numId w:val="6"/>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riigieelarvest eraldatakse vahendid otse regionaalsele juhtimistasandile valdkondlike ülesannete täitmise toetuseks: a) sihtotstarbelisena, b) üldotstarbelisena. </w:t>
            </w:r>
          </w:p>
          <w:p w:rsidR="00000000" w:rsidDel="00000000" w:rsidP="00000000" w:rsidRDefault="00000000" w:rsidRPr="00000000" w14:paraId="0000005D">
            <w:pPr>
              <w:numPr>
                <w:ilvl w:val="0"/>
                <w:numId w:val="6"/>
              </w:numPr>
              <w:spacing w:after="20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Eelnevate kombinatsioon eri variatsioonides (kirjeldada)</w:t>
            </w:r>
          </w:p>
        </w:tc>
      </w:tr>
      <w:tr>
        <w:trPr>
          <w:trHeight w:val="24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E">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Regionaalsete arenguprogrammide kavandamine ja rahastamine (juhul kui on see funktsioon)</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5F">
            <w:pPr>
              <w:numPr>
                <w:ilvl w:val="0"/>
                <w:numId w:val="4"/>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üleriigilised programmid, mille toetused jaotatakse riiklikul tasemel võrdses (või erandeid sätestavas) konkurentsis;</w:t>
            </w:r>
          </w:p>
          <w:p w:rsidR="00000000" w:rsidDel="00000000" w:rsidP="00000000" w:rsidRDefault="00000000" w:rsidRPr="00000000" w14:paraId="00000060">
            <w:pPr>
              <w:numPr>
                <w:ilvl w:val="0"/>
                <w:numId w:val="4"/>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regionaalsed programmid, kus vahendeid eraldatakse proportsionaalselt regioonide elanikkonnaga või muude vajaduspõhiste kriteeriumite alusel ning regiooni siseselt jagatakse toetused regionaalse tasandi otsustusprotsessis;</w:t>
            </w:r>
          </w:p>
          <w:p w:rsidR="00000000" w:rsidDel="00000000" w:rsidP="00000000" w:rsidRDefault="00000000" w:rsidRPr="00000000" w14:paraId="00000061">
            <w:pPr>
              <w:numPr>
                <w:ilvl w:val="0"/>
                <w:numId w:val="4"/>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ja KOV-koostööstruktuuride poolt ühiselt loodavad arendusprogrammid – nii sisu ja kaasrahastamise osas.</w:t>
            </w:r>
          </w:p>
        </w:tc>
      </w:tr>
      <w:tr>
        <w:trPr>
          <w:trHeight w:val="320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2">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Regionaalse tasandi </w:t>
            </w:r>
            <w:r w:rsidDel="00000000" w:rsidR="00000000" w:rsidRPr="00000000">
              <w:rPr>
                <w:rFonts w:ascii="Times New Roman" w:cs="Times New Roman" w:eastAsia="Times New Roman" w:hAnsi="Times New Roman"/>
                <w:b w:val="1"/>
                <w:sz w:val="24"/>
                <w:szCs w:val="24"/>
                <w:rtl w:val="0"/>
              </w:rPr>
              <w:t xml:space="preserve">territoriaalne ulatus ja iseloom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top"/>
          </w:tcPr>
          <w:p w:rsidR="00000000" w:rsidDel="00000000" w:rsidP="00000000" w:rsidRDefault="00000000" w:rsidRPr="00000000" w14:paraId="0000006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maakonnad </w:t>
            </w:r>
          </w:p>
          <w:p w:rsidR="00000000" w:rsidDel="00000000" w:rsidP="00000000" w:rsidRDefault="00000000" w:rsidRPr="00000000" w14:paraId="0000006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regioonid (4-6)</w:t>
            </w:r>
          </w:p>
          <w:p w:rsidR="00000000" w:rsidDel="00000000" w:rsidP="00000000" w:rsidRDefault="00000000" w:rsidRPr="00000000" w14:paraId="0000006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maakondlikud (piirkondlikud) kohalikud omavalitsused </w:t>
            </w:r>
          </w:p>
          <w:p w:rsidR="00000000" w:rsidDel="00000000" w:rsidP="00000000" w:rsidRDefault="00000000" w:rsidRPr="00000000" w14:paraId="00000066">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Kahe-kihiline regionaalne mudel. Osa KOV koostööülesannetest täidetakse maakondlikul tasandil, osa regionaalsetest ülesannetest koostöös riigiga (ja sobivusel ka erasektori kaasatusel juhtimisse) kõrgemal regionaalsel tasandi</w:t>
            </w:r>
          </w:p>
          <w:p w:rsidR="00000000" w:rsidDel="00000000" w:rsidP="00000000" w:rsidRDefault="00000000" w:rsidRPr="00000000" w14:paraId="00000067">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Kui võimalik, siis põhjendused, miks on selline territoriaalne loogika (nt geograafia, ajalugu-identiteet, funktsioonide eripära vms). </w:t>
            </w:r>
          </w:p>
        </w:tc>
      </w:tr>
    </w:tbl>
    <w:p w:rsidR="00000000" w:rsidDel="00000000" w:rsidP="00000000" w:rsidRDefault="00000000" w:rsidRPr="00000000" w14:paraId="00000068">
      <w:pPr>
        <w:widowControl w:val="0"/>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Times New Roman" w:cs="Times New Roman" w:eastAsia="Times New Roman" w:hAnsi="Times New Roman"/>
        <w:b w:val="0"/>
        <w:i w:val="0"/>
        <w:smallCaps w:val="0"/>
        <w:strike w:val="0"/>
        <w:shd w:fill="auto" w:val="clear"/>
        <w:vertAlign w:val="baseline"/>
      </w:rPr>
    </w:lvl>
    <w:lvl w:ilvl="1">
      <w:start w:val="1"/>
      <w:numFmt w:val="bullet"/>
      <w:lvlText w:val="o"/>
      <w:lvlJc w:val="left"/>
      <w:pPr>
        <w:ind w:left="1080" w:hanging="360"/>
      </w:pPr>
      <w:rPr>
        <w:rFonts w:ascii="Times New Roman" w:cs="Times New Roman" w:eastAsia="Times New Roman" w:hAnsi="Times New Roman"/>
        <w:b w:val="0"/>
        <w:i w:val="0"/>
        <w:smallCaps w:val="0"/>
        <w:strike w:val="0"/>
        <w:shd w:fill="auto" w:val="clear"/>
        <w:vertAlign w:val="baseline"/>
      </w:rPr>
    </w:lvl>
    <w:lvl w:ilvl="2">
      <w:start w:val="1"/>
      <w:numFmt w:val="bullet"/>
      <w:lvlText w:val="▪"/>
      <w:lvlJc w:val="left"/>
      <w:pPr>
        <w:ind w:left="1800" w:hanging="360"/>
      </w:pPr>
      <w:rPr>
        <w:rFonts w:ascii="Times New Roman" w:cs="Times New Roman" w:eastAsia="Times New Roman" w:hAnsi="Times New Roman"/>
        <w:b w:val="0"/>
        <w:i w:val="0"/>
        <w:smallCaps w:val="0"/>
        <w:strike w:val="0"/>
        <w:shd w:fill="auto" w:val="clear"/>
        <w:vertAlign w:val="baseline"/>
      </w:rPr>
    </w:lvl>
    <w:lvl w:ilvl="3">
      <w:start w:val="1"/>
      <w:numFmt w:val="bullet"/>
      <w:lvlText w:val="•"/>
      <w:lvlJc w:val="left"/>
      <w:pPr>
        <w:ind w:left="2520" w:hanging="360"/>
      </w:pPr>
      <w:rPr>
        <w:rFonts w:ascii="Times New Roman" w:cs="Times New Roman" w:eastAsia="Times New Roman" w:hAnsi="Times New Roman"/>
        <w:b w:val="0"/>
        <w:i w:val="0"/>
        <w:smallCaps w:val="0"/>
        <w:strike w:val="0"/>
        <w:shd w:fill="auto" w:val="clear"/>
        <w:vertAlign w:val="baseline"/>
      </w:rPr>
    </w:lvl>
    <w:lvl w:ilvl="4">
      <w:start w:val="1"/>
      <w:numFmt w:val="bullet"/>
      <w:lvlText w:val="o"/>
      <w:lvlJc w:val="left"/>
      <w:pPr>
        <w:ind w:left="3240" w:hanging="360"/>
      </w:pPr>
      <w:rPr>
        <w:rFonts w:ascii="Times New Roman" w:cs="Times New Roman" w:eastAsia="Times New Roman" w:hAnsi="Times New Roman"/>
        <w:b w:val="0"/>
        <w:i w:val="0"/>
        <w:smallCaps w:val="0"/>
        <w:strike w:val="0"/>
        <w:shd w:fill="auto" w:val="clear"/>
        <w:vertAlign w:val="baseline"/>
      </w:rPr>
    </w:lvl>
    <w:lvl w:ilvl="5">
      <w:start w:val="1"/>
      <w:numFmt w:val="bullet"/>
      <w:lvlText w:val="▪"/>
      <w:lvlJc w:val="left"/>
      <w:pPr>
        <w:ind w:left="3960" w:hanging="360"/>
      </w:pPr>
      <w:rPr>
        <w:rFonts w:ascii="Times New Roman" w:cs="Times New Roman" w:eastAsia="Times New Roman" w:hAnsi="Times New Roman"/>
        <w:b w:val="0"/>
        <w:i w:val="0"/>
        <w:smallCaps w:val="0"/>
        <w:strike w:val="0"/>
        <w:shd w:fill="auto" w:val="clear"/>
        <w:vertAlign w:val="baseline"/>
      </w:rPr>
    </w:lvl>
    <w:lvl w:ilvl="6">
      <w:start w:val="1"/>
      <w:numFmt w:val="bullet"/>
      <w:lvlText w:val="•"/>
      <w:lvlJc w:val="left"/>
      <w:pPr>
        <w:ind w:left="4680" w:hanging="360"/>
      </w:pPr>
      <w:rPr>
        <w:rFonts w:ascii="Times New Roman" w:cs="Times New Roman" w:eastAsia="Times New Roman" w:hAnsi="Times New Roman"/>
        <w:b w:val="0"/>
        <w:i w:val="0"/>
        <w:smallCaps w:val="0"/>
        <w:strike w:val="0"/>
        <w:shd w:fill="auto" w:val="clear"/>
        <w:vertAlign w:val="baseline"/>
      </w:rPr>
    </w:lvl>
    <w:lvl w:ilvl="7">
      <w:start w:val="1"/>
      <w:numFmt w:val="bullet"/>
      <w:lvlText w:val="o"/>
      <w:lvlJc w:val="left"/>
      <w:pPr>
        <w:ind w:left="5400" w:hanging="360"/>
      </w:pPr>
      <w:rPr>
        <w:rFonts w:ascii="Times New Roman" w:cs="Times New Roman" w:eastAsia="Times New Roman" w:hAnsi="Times New Roman"/>
        <w:b w:val="0"/>
        <w:i w:val="0"/>
        <w:smallCaps w:val="0"/>
        <w:strike w:val="0"/>
        <w:shd w:fill="auto" w:val="clear"/>
        <w:vertAlign w:val="baseline"/>
      </w:rPr>
    </w:lvl>
    <w:lvl w:ilvl="8">
      <w:start w:val="1"/>
      <w:numFmt w:val="bullet"/>
      <w:lvlText w:val="▪"/>
      <w:lvlJc w:val="left"/>
      <w:pPr>
        <w:ind w:left="6120" w:hanging="360"/>
      </w:pPr>
      <w:rPr>
        <w:rFonts w:ascii="Times New Roman" w:cs="Times New Roman" w:eastAsia="Times New Roman" w:hAnsi="Times New Roman"/>
        <w:b w:val="0"/>
        <w:i w:val="0"/>
        <w:smallCaps w:val="0"/>
        <w:strike w:val="0"/>
        <w:shd w:fill="auto" w:val="clear"/>
        <w:vertAlign w:val="baseline"/>
      </w:rPr>
    </w:lvl>
  </w:abstractNum>
  <w:abstractNum w:abstractNumId="2">
    <w:lvl w:ilvl="0">
      <w:start w:val="1"/>
      <w:numFmt w:val="lowerLetter"/>
      <w:lvlText w:val="%1)"/>
      <w:lvlJc w:val="left"/>
      <w:pPr>
        <w:ind w:left="360" w:hanging="360"/>
      </w:pPr>
      <w:rPr>
        <w:smallCaps w:val="0"/>
        <w:strike w:val="0"/>
        <w:shd w:fill="auto" w:val="clear"/>
        <w:vertAlign w:val="baseline"/>
      </w:rPr>
    </w:lvl>
    <w:lvl w:ilvl="1">
      <w:start w:val="1"/>
      <w:numFmt w:val="lowerLetter"/>
      <w:lvlText w:val="%2."/>
      <w:lvlJc w:val="left"/>
      <w:pPr>
        <w:ind w:left="1080" w:hanging="360"/>
      </w:pPr>
      <w:rPr>
        <w:smallCaps w:val="0"/>
        <w:strike w:val="0"/>
        <w:shd w:fill="auto" w:val="clear"/>
        <w:vertAlign w:val="baseline"/>
      </w:rPr>
    </w:lvl>
    <w:lvl w:ilvl="2">
      <w:start w:val="1"/>
      <w:numFmt w:val="lowerRoman"/>
      <w:lvlText w:val="%3."/>
      <w:lvlJc w:val="left"/>
      <w:pPr>
        <w:ind w:left="1800" w:hanging="300"/>
      </w:pPr>
      <w:rPr>
        <w:smallCaps w:val="0"/>
        <w:strike w:val="0"/>
        <w:shd w:fill="auto" w:val="clear"/>
        <w:vertAlign w:val="baseline"/>
      </w:rPr>
    </w:lvl>
    <w:lvl w:ilvl="3">
      <w:start w:val="1"/>
      <w:numFmt w:val="decimal"/>
      <w:lvlText w:val="%4."/>
      <w:lvlJc w:val="left"/>
      <w:pPr>
        <w:ind w:left="2520" w:hanging="360"/>
      </w:pPr>
      <w:rPr>
        <w:smallCaps w:val="0"/>
        <w:strike w:val="0"/>
        <w:shd w:fill="auto" w:val="clear"/>
        <w:vertAlign w:val="baseline"/>
      </w:rPr>
    </w:lvl>
    <w:lvl w:ilvl="4">
      <w:start w:val="1"/>
      <w:numFmt w:val="lowerLetter"/>
      <w:lvlText w:val="%5."/>
      <w:lvlJc w:val="left"/>
      <w:pPr>
        <w:ind w:left="3240" w:hanging="360"/>
      </w:pPr>
      <w:rPr>
        <w:smallCaps w:val="0"/>
        <w:strike w:val="0"/>
        <w:shd w:fill="auto" w:val="clear"/>
        <w:vertAlign w:val="baseline"/>
      </w:rPr>
    </w:lvl>
    <w:lvl w:ilvl="5">
      <w:start w:val="1"/>
      <w:numFmt w:val="lowerRoman"/>
      <w:lvlText w:val="%6."/>
      <w:lvlJc w:val="left"/>
      <w:pPr>
        <w:ind w:left="3960" w:hanging="300"/>
      </w:pPr>
      <w:rPr>
        <w:smallCaps w:val="0"/>
        <w:strike w:val="0"/>
        <w:shd w:fill="auto" w:val="clear"/>
        <w:vertAlign w:val="baseline"/>
      </w:rPr>
    </w:lvl>
    <w:lvl w:ilvl="6">
      <w:start w:val="1"/>
      <w:numFmt w:val="decimal"/>
      <w:lvlText w:val="%7."/>
      <w:lvlJc w:val="left"/>
      <w:pPr>
        <w:ind w:left="4680" w:hanging="360"/>
      </w:pPr>
      <w:rPr>
        <w:smallCaps w:val="0"/>
        <w:strike w:val="0"/>
        <w:shd w:fill="auto" w:val="clear"/>
        <w:vertAlign w:val="baseline"/>
      </w:rPr>
    </w:lvl>
    <w:lvl w:ilvl="7">
      <w:start w:val="1"/>
      <w:numFmt w:val="lowerLetter"/>
      <w:lvlText w:val="%8."/>
      <w:lvlJc w:val="left"/>
      <w:pPr>
        <w:ind w:left="5400" w:hanging="360"/>
      </w:pPr>
      <w:rPr>
        <w:smallCaps w:val="0"/>
        <w:strike w:val="0"/>
        <w:shd w:fill="auto" w:val="clear"/>
        <w:vertAlign w:val="baseline"/>
      </w:rPr>
    </w:lvl>
    <w:lvl w:ilvl="8">
      <w:start w:val="1"/>
      <w:numFmt w:val="lowerRoman"/>
      <w:lvlText w:val="%9."/>
      <w:lvlJc w:val="left"/>
      <w:pPr>
        <w:ind w:left="6120" w:hanging="300"/>
      </w:pPr>
      <w:rPr>
        <w:smallCaps w:val="0"/>
        <w:strike w:val="0"/>
        <w:shd w:fill="auto" w:val="clear"/>
        <w:vertAlign w:val="baseline"/>
      </w:rPr>
    </w:lvl>
  </w:abstractNum>
  <w:abstractNum w:abstractNumId="3">
    <w:lvl w:ilvl="0">
      <w:start w:val="1"/>
      <w:numFmt w:val="lowerLetter"/>
      <w:lvlText w:val="%1)"/>
      <w:lvlJc w:val="left"/>
      <w:pPr>
        <w:ind w:left="360" w:hanging="360"/>
      </w:pPr>
      <w:rPr>
        <w:smallCaps w:val="0"/>
        <w:strike w:val="0"/>
        <w:shd w:fill="auto" w:val="clear"/>
        <w:vertAlign w:val="baseline"/>
      </w:rPr>
    </w:lvl>
    <w:lvl w:ilvl="1">
      <w:start w:val="1"/>
      <w:numFmt w:val="lowerLetter"/>
      <w:lvlText w:val="%2)"/>
      <w:lvlJc w:val="left"/>
      <w:pPr>
        <w:ind w:left="1080" w:hanging="360"/>
      </w:pPr>
      <w:rPr>
        <w:smallCaps w:val="0"/>
        <w:strike w:val="0"/>
        <w:shd w:fill="auto" w:val="clear"/>
        <w:vertAlign w:val="baseline"/>
      </w:rPr>
    </w:lvl>
    <w:lvl w:ilvl="2">
      <w:start w:val="1"/>
      <w:numFmt w:val="lowerLetter"/>
      <w:lvlText w:val="%3)"/>
      <w:lvlJc w:val="left"/>
      <w:pPr>
        <w:ind w:left="1800" w:hanging="360"/>
      </w:pPr>
      <w:rPr>
        <w:smallCaps w:val="0"/>
        <w:strike w:val="0"/>
        <w:shd w:fill="auto" w:val="clear"/>
        <w:vertAlign w:val="baseline"/>
      </w:rPr>
    </w:lvl>
    <w:lvl w:ilvl="3">
      <w:start w:val="1"/>
      <w:numFmt w:val="lowerLetter"/>
      <w:lvlText w:val="%4)"/>
      <w:lvlJc w:val="left"/>
      <w:pPr>
        <w:ind w:left="2520" w:hanging="360"/>
      </w:pPr>
      <w:rPr>
        <w:smallCaps w:val="0"/>
        <w:strike w:val="0"/>
        <w:shd w:fill="auto" w:val="clear"/>
        <w:vertAlign w:val="baseline"/>
      </w:rPr>
    </w:lvl>
    <w:lvl w:ilvl="4">
      <w:start w:val="1"/>
      <w:numFmt w:val="lowerLetter"/>
      <w:lvlText w:val="%5)"/>
      <w:lvlJc w:val="left"/>
      <w:pPr>
        <w:ind w:left="3240" w:hanging="360"/>
      </w:pPr>
      <w:rPr>
        <w:smallCaps w:val="0"/>
        <w:strike w:val="0"/>
        <w:shd w:fill="auto" w:val="clear"/>
        <w:vertAlign w:val="baseline"/>
      </w:rPr>
    </w:lvl>
    <w:lvl w:ilvl="5">
      <w:start w:val="1"/>
      <w:numFmt w:val="lowerLetter"/>
      <w:lvlText w:val="%6)"/>
      <w:lvlJc w:val="left"/>
      <w:pPr>
        <w:ind w:left="3960" w:hanging="360"/>
      </w:pPr>
      <w:rPr>
        <w:smallCaps w:val="0"/>
        <w:strike w:val="0"/>
        <w:shd w:fill="auto" w:val="clear"/>
        <w:vertAlign w:val="baseline"/>
      </w:rPr>
    </w:lvl>
    <w:lvl w:ilvl="6">
      <w:start w:val="1"/>
      <w:numFmt w:val="lowerLetter"/>
      <w:lvlText w:val="%7)"/>
      <w:lvlJc w:val="left"/>
      <w:pPr>
        <w:ind w:left="4680" w:hanging="360"/>
      </w:pPr>
      <w:rPr>
        <w:smallCaps w:val="0"/>
        <w:strike w:val="0"/>
        <w:shd w:fill="auto" w:val="clear"/>
        <w:vertAlign w:val="baseline"/>
      </w:rPr>
    </w:lvl>
    <w:lvl w:ilvl="7">
      <w:start w:val="1"/>
      <w:numFmt w:val="lowerLetter"/>
      <w:lvlText w:val="%8)"/>
      <w:lvlJc w:val="left"/>
      <w:pPr>
        <w:ind w:left="5400" w:hanging="360"/>
      </w:pPr>
      <w:rPr>
        <w:smallCaps w:val="0"/>
        <w:strike w:val="0"/>
        <w:shd w:fill="auto" w:val="clear"/>
        <w:vertAlign w:val="baseline"/>
      </w:rPr>
    </w:lvl>
    <w:lvl w:ilvl="8">
      <w:start w:val="1"/>
      <w:numFmt w:val="lowerLetter"/>
      <w:lvlText w:val="%9)"/>
      <w:lvlJc w:val="left"/>
      <w:pPr>
        <w:ind w:left="6120" w:hanging="360"/>
      </w:pPr>
      <w:rPr>
        <w:smallCaps w:val="0"/>
        <w:strike w:val="0"/>
        <w:shd w:fill="auto" w:val="clear"/>
        <w:vertAlign w:val="baseline"/>
      </w:rPr>
    </w:lvl>
  </w:abstractNum>
  <w:abstractNum w:abstractNumId="4">
    <w:lvl w:ilvl="0">
      <w:start w:val="1"/>
      <w:numFmt w:val="lowerLetter"/>
      <w:lvlText w:val="%1)"/>
      <w:lvlJc w:val="left"/>
      <w:pPr>
        <w:ind w:left="360" w:hanging="360"/>
      </w:pPr>
      <w:rPr>
        <w:smallCaps w:val="0"/>
        <w:strike w:val="0"/>
        <w:shd w:fill="auto" w:val="clear"/>
        <w:vertAlign w:val="baseline"/>
      </w:rPr>
    </w:lvl>
    <w:lvl w:ilvl="1">
      <w:start w:val="1"/>
      <w:numFmt w:val="lowerLetter"/>
      <w:lvlText w:val="%2."/>
      <w:lvlJc w:val="left"/>
      <w:pPr>
        <w:ind w:left="1080" w:hanging="360"/>
      </w:pPr>
      <w:rPr>
        <w:smallCaps w:val="0"/>
        <w:strike w:val="0"/>
        <w:shd w:fill="auto" w:val="clear"/>
        <w:vertAlign w:val="baseline"/>
      </w:rPr>
    </w:lvl>
    <w:lvl w:ilvl="2">
      <w:start w:val="1"/>
      <w:numFmt w:val="lowerRoman"/>
      <w:lvlText w:val="%3."/>
      <w:lvlJc w:val="left"/>
      <w:pPr>
        <w:ind w:left="1800" w:hanging="300"/>
      </w:pPr>
      <w:rPr>
        <w:smallCaps w:val="0"/>
        <w:strike w:val="0"/>
        <w:shd w:fill="auto" w:val="clear"/>
        <w:vertAlign w:val="baseline"/>
      </w:rPr>
    </w:lvl>
    <w:lvl w:ilvl="3">
      <w:start w:val="1"/>
      <w:numFmt w:val="decimal"/>
      <w:lvlText w:val="%4."/>
      <w:lvlJc w:val="left"/>
      <w:pPr>
        <w:ind w:left="2520" w:hanging="360"/>
      </w:pPr>
      <w:rPr>
        <w:smallCaps w:val="0"/>
        <w:strike w:val="0"/>
        <w:shd w:fill="auto" w:val="clear"/>
        <w:vertAlign w:val="baseline"/>
      </w:rPr>
    </w:lvl>
    <w:lvl w:ilvl="4">
      <w:start w:val="1"/>
      <w:numFmt w:val="lowerLetter"/>
      <w:lvlText w:val="%5."/>
      <w:lvlJc w:val="left"/>
      <w:pPr>
        <w:ind w:left="3240" w:hanging="360"/>
      </w:pPr>
      <w:rPr>
        <w:smallCaps w:val="0"/>
        <w:strike w:val="0"/>
        <w:shd w:fill="auto" w:val="clear"/>
        <w:vertAlign w:val="baseline"/>
      </w:rPr>
    </w:lvl>
    <w:lvl w:ilvl="5">
      <w:start w:val="1"/>
      <w:numFmt w:val="lowerRoman"/>
      <w:lvlText w:val="%6."/>
      <w:lvlJc w:val="left"/>
      <w:pPr>
        <w:ind w:left="3960" w:hanging="300"/>
      </w:pPr>
      <w:rPr>
        <w:smallCaps w:val="0"/>
        <w:strike w:val="0"/>
        <w:shd w:fill="auto" w:val="clear"/>
        <w:vertAlign w:val="baseline"/>
      </w:rPr>
    </w:lvl>
    <w:lvl w:ilvl="6">
      <w:start w:val="1"/>
      <w:numFmt w:val="decimal"/>
      <w:lvlText w:val="%7."/>
      <w:lvlJc w:val="left"/>
      <w:pPr>
        <w:ind w:left="4680" w:hanging="360"/>
      </w:pPr>
      <w:rPr>
        <w:smallCaps w:val="0"/>
        <w:strike w:val="0"/>
        <w:shd w:fill="auto" w:val="clear"/>
        <w:vertAlign w:val="baseline"/>
      </w:rPr>
    </w:lvl>
    <w:lvl w:ilvl="7">
      <w:start w:val="1"/>
      <w:numFmt w:val="lowerLetter"/>
      <w:lvlText w:val="%8."/>
      <w:lvlJc w:val="left"/>
      <w:pPr>
        <w:ind w:left="5400" w:hanging="360"/>
      </w:pPr>
      <w:rPr>
        <w:smallCaps w:val="0"/>
        <w:strike w:val="0"/>
        <w:shd w:fill="auto" w:val="clear"/>
        <w:vertAlign w:val="baseline"/>
      </w:rPr>
    </w:lvl>
    <w:lvl w:ilvl="8">
      <w:start w:val="1"/>
      <w:numFmt w:val="lowerRoman"/>
      <w:lvlText w:val="%9."/>
      <w:lvlJc w:val="left"/>
      <w:pPr>
        <w:ind w:left="6120" w:hanging="300"/>
      </w:pPr>
      <w:rPr>
        <w:smallCaps w:val="0"/>
        <w:strike w:val="0"/>
        <w:shd w:fill="auto" w:val="clear"/>
        <w:vertAlign w:val="baseline"/>
      </w:rPr>
    </w:lvl>
  </w:abstractNum>
  <w:abstractNum w:abstractNumId="5">
    <w:lvl w:ilvl="0">
      <w:start w:val="1"/>
      <w:numFmt w:val="lowerLetter"/>
      <w:lvlText w:val="%1)"/>
      <w:lvlJc w:val="left"/>
      <w:pPr>
        <w:ind w:left="360" w:hanging="360"/>
      </w:pPr>
      <w:rPr>
        <w:smallCaps w:val="0"/>
        <w:strike w:val="0"/>
        <w:shd w:fill="auto" w:val="clear"/>
        <w:vertAlign w:val="baseline"/>
      </w:rPr>
    </w:lvl>
    <w:lvl w:ilvl="1">
      <w:start w:val="1"/>
      <w:numFmt w:val="lowerLetter"/>
      <w:lvlText w:val="%2."/>
      <w:lvlJc w:val="left"/>
      <w:pPr>
        <w:ind w:left="1080" w:hanging="360"/>
      </w:pPr>
      <w:rPr>
        <w:smallCaps w:val="0"/>
        <w:strike w:val="0"/>
        <w:shd w:fill="auto" w:val="clear"/>
        <w:vertAlign w:val="baseline"/>
      </w:rPr>
    </w:lvl>
    <w:lvl w:ilvl="2">
      <w:start w:val="1"/>
      <w:numFmt w:val="lowerRoman"/>
      <w:lvlText w:val="%3."/>
      <w:lvlJc w:val="left"/>
      <w:pPr>
        <w:ind w:left="1800" w:hanging="300"/>
      </w:pPr>
      <w:rPr>
        <w:smallCaps w:val="0"/>
        <w:strike w:val="0"/>
        <w:shd w:fill="auto" w:val="clear"/>
        <w:vertAlign w:val="baseline"/>
      </w:rPr>
    </w:lvl>
    <w:lvl w:ilvl="3">
      <w:start w:val="1"/>
      <w:numFmt w:val="decimal"/>
      <w:lvlText w:val="%4."/>
      <w:lvlJc w:val="left"/>
      <w:pPr>
        <w:ind w:left="2520" w:hanging="360"/>
      </w:pPr>
      <w:rPr>
        <w:smallCaps w:val="0"/>
        <w:strike w:val="0"/>
        <w:shd w:fill="auto" w:val="clear"/>
        <w:vertAlign w:val="baseline"/>
      </w:rPr>
    </w:lvl>
    <w:lvl w:ilvl="4">
      <w:start w:val="1"/>
      <w:numFmt w:val="lowerLetter"/>
      <w:lvlText w:val="%5."/>
      <w:lvlJc w:val="left"/>
      <w:pPr>
        <w:ind w:left="3240" w:hanging="360"/>
      </w:pPr>
      <w:rPr>
        <w:smallCaps w:val="0"/>
        <w:strike w:val="0"/>
        <w:shd w:fill="auto" w:val="clear"/>
        <w:vertAlign w:val="baseline"/>
      </w:rPr>
    </w:lvl>
    <w:lvl w:ilvl="5">
      <w:start w:val="1"/>
      <w:numFmt w:val="lowerRoman"/>
      <w:lvlText w:val="%6."/>
      <w:lvlJc w:val="left"/>
      <w:pPr>
        <w:ind w:left="3960" w:hanging="300"/>
      </w:pPr>
      <w:rPr>
        <w:smallCaps w:val="0"/>
        <w:strike w:val="0"/>
        <w:shd w:fill="auto" w:val="clear"/>
        <w:vertAlign w:val="baseline"/>
      </w:rPr>
    </w:lvl>
    <w:lvl w:ilvl="6">
      <w:start w:val="1"/>
      <w:numFmt w:val="decimal"/>
      <w:lvlText w:val="%7."/>
      <w:lvlJc w:val="left"/>
      <w:pPr>
        <w:ind w:left="4680" w:hanging="360"/>
      </w:pPr>
      <w:rPr>
        <w:smallCaps w:val="0"/>
        <w:strike w:val="0"/>
        <w:shd w:fill="auto" w:val="clear"/>
        <w:vertAlign w:val="baseline"/>
      </w:rPr>
    </w:lvl>
    <w:lvl w:ilvl="7">
      <w:start w:val="1"/>
      <w:numFmt w:val="lowerLetter"/>
      <w:lvlText w:val="%8."/>
      <w:lvlJc w:val="left"/>
      <w:pPr>
        <w:ind w:left="5400" w:hanging="360"/>
      </w:pPr>
      <w:rPr>
        <w:smallCaps w:val="0"/>
        <w:strike w:val="0"/>
        <w:shd w:fill="auto" w:val="clear"/>
        <w:vertAlign w:val="baseline"/>
      </w:rPr>
    </w:lvl>
    <w:lvl w:ilvl="8">
      <w:start w:val="1"/>
      <w:numFmt w:val="lowerRoman"/>
      <w:lvlText w:val="%9."/>
      <w:lvlJc w:val="left"/>
      <w:pPr>
        <w:ind w:left="6120" w:hanging="300"/>
      </w:pPr>
      <w:rPr>
        <w:smallCaps w:val="0"/>
        <w:strike w:val="0"/>
        <w:shd w:fill="auto" w:val="clear"/>
        <w:vertAlign w:val="baseline"/>
      </w:rPr>
    </w:lvl>
  </w:abstractNum>
  <w:abstractNum w:abstractNumId="6">
    <w:lvl w:ilvl="0">
      <w:start w:val="1"/>
      <w:numFmt w:val="lowerLetter"/>
      <w:lvlText w:val="%1)"/>
      <w:lvlJc w:val="left"/>
      <w:pPr>
        <w:ind w:left="360" w:hanging="360"/>
      </w:pPr>
      <w:rPr>
        <w:smallCaps w:val="0"/>
        <w:strike w:val="0"/>
        <w:shd w:fill="auto" w:val="clear"/>
        <w:vertAlign w:val="baseline"/>
      </w:rPr>
    </w:lvl>
    <w:lvl w:ilvl="1">
      <w:start w:val="1"/>
      <w:numFmt w:val="lowerLetter"/>
      <w:lvlText w:val="%2)"/>
      <w:lvlJc w:val="left"/>
      <w:pPr>
        <w:ind w:left="1080" w:hanging="360"/>
      </w:pPr>
      <w:rPr>
        <w:smallCaps w:val="0"/>
        <w:strike w:val="0"/>
        <w:shd w:fill="auto" w:val="clear"/>
        <w:vertAlign w:val="baseline"/>
      </w:rPr>
    </w:lvl>
    <w:lvl w:ilvl="2">
      <w:start w:val="1"/>
      <w:numFmt w:val="lowerLetter"/>
      <w:lvlText w:val="%3)"/>
      <w:lvlJc w:val="left"/>
      <w:pPr>
        <w:ind w:left="1800" w:hanging="360"/>
      </w:pPr>
      <w:rPr>
        <w:smallCaps w:val="0"/>
        <w:strike w:val="0"/>
        <w:shd w:fill="auto" w:val="clear"/>
        <w:vertAlign w:val="baseline"/>
      </w:rPr>
    </w:lvl>
    <w:lvl w:ilvl="3">
      <w:start w:val="1"/>
      <w:numFmt w:val="lowerLetter"/>
      <w:lvlText w:val="%4)"/>
      <w:lvlJc w:val="left"/>
      <w:pPr>
        <w:ind w:left="2520" w:hanging="360"/>
      </w:pPr>
      <w:rPr>
        <w:smallCaps w:val="0"/>
        <w:strike w:val="0"/>
        <w:shd w:fill="auto" w:val="clear"/>
        <w:vertAlign w:val="baseline"/>
      </w:rPr>
    </w:lvl>
    <w:lvl w:ilvl="4">
      <w:start w:val="1"/>
      <w:numFmt w:val="lowerLetter"/>
      <w:lvlText w:val="%5)"/>
      <w:lvlJc w:val="left"/>
      <w:pPr>
        <w:ind w:left="3240" w:hanging="360"/>
      </w:pPr>
      <w:rPr>
        <w:smallCaps w:val="0"/>
        <w:strike w:val="0"/>
        <w:shd w:fill="auto" w:val="clear"/>
        <w:vertAlign w:val="baseline"/>
      </w:rPr>
    </w:lvl>
    <w:lvl w:ilvl="5">
      <w:start w:val="1"/>
      <w:numFmt w:val="lowerLetter"/>
      <w:lvlText w:val="%6)"/>
      <w:lvlJc w:val="left"/>
      <w:pPr>
        <w:ind w:left="3960" w:hanging="360"/>
      </w:pPr>
      <w:rPr>
        <w:smallCaps w:val="0"/>
        <w:strike w:val="0"/>
        <w:shd w:fill="auto" w:val="clear"/>
        <w:vertAlign w:val="baseline"/>
      </w:rPr>
    </w:lvl>
    <w:lvl w:ilvl="6">
      <w:start w:val="1"/>
      <w:numFmt w:val="lowerLetter"/>
      <w:lvlText w:val="%7)"/>
      <w:lvlJc w:val="left"/>
      <w:pPr>
        <w:ind w:left="4680" w:hanging="360"/>
      </w:pPr>
      <w:rPr>
        <w:smallCaps w:val="0"/>
        <w:strike w:val="0"/>
        <w:shd w:fill="auto" w:val="clear"/>
        <w:vertAlign w:val="baseline"/>
      </w:rPr>
    </w:lvl>
    <w:lvl w:ilvl="7">
      <w:start w:val="1"/>
      <w:numFmt w:val="lowerLetter"/>
      <w:lvlText w:val="%8)"/>
      <w:lvlJc w:val="left"/>
      <w:pPr>
        <w:ind w:left="5400" w:hanging="360"/>
      </w:pPr>
      <w:rPr>
        <w:smallCaps w:val="0"/>
        <w:strike w:val="0"/>
        <w:shd w:fill="auto" w:val="clear"/>
        <w:vertAlign w:val="baseline"/>
      </w:rPr>
    </w:lvl>
    <w:lvl w:ilvl="8">
      <w:start w:val="1"/>
      <w:numFmt w:val="lowerLetter"/>
      <w:lvlText w:val="%9)"/>
      <w:lvlJc w:val="left"/>
      <w:pPr>
        <w:ind w:left="6120" w:hanging="360"/>
      </w:pPr>
      <w:rPr>
        <w:smallCaps w:val="0"/>
        <w:strike w:val="0"/>
        <w:shd w:fill="auto" w:val="clear"/>
        <w:vertAlign w:val="baseline"/>
      </w:rPr>
    </w:lvl>
  </w:abstractNum>
  <w:abstractNum w:abstractNumId="7">
    <w:lvl w:ilvl="0">
      <w:start w:val="1"/>
      <w:numFmt w:val="lowerLetter"/>
      <w:lvlText w:val="%1)"/>
      <w:lvlJc w:val="left"/>
      <w:pPr>
        <w:ind w:left="360" w:hanging="360"/>
      </w:pPr>
      <w:rPr>
        <w:smallCaps w:val="0"/>
        <w:strike w:val="0"/>
        <w:shd w:fill="auto" w:val="clear"/>
        <w:vertAlign w:val="baseline"/>
      </w:rPr>
    </w:lvl>
    <w:lvl w:ilvl="1">
      <w:start w:val="1"/>
      <w:numFmt w:val="lowerLetter"/>
      <w:lvlText w:val="%2."/>
      <w:lvlJc w:val="left"/>
      <w:pPr>
        <w:ind w:left="1080" w:hanging="360"/>
      </w:pPr>
      <w:rPr>
        <w:smallCaps w:val="0"/>
        <w:strike w:val="0"/>
        <w:shd w:fill="auto" w:val="clear"/>
        <w:vertAlign w:val="baseline"/>
      </w:rPr>
    </w:lvl>
    <w:lvl w:ilvl="2">
      <w:start w:val="1"/>
      <w:numFmt w:val="lowerRoman"/>
      <w:lvlText w:val="%3."/>
      <w:lvlJc w:val="left"/>
      <w:pPr>
        <w:ind w:left="1800" w:hanging="300"/>
      </w:pPr>
      <w:rPr>
        <w:smallCaps w:val="0"/>
        <w:strike w:val="0"/>
        <w:shd w:fill="auto" w:val="clear"/>
        <w:vertAlign w:val="baseline"/>
      </w:rPr>
    </w:lvl>
    <w:lvl w:ilvl="3">
      <w:start w:val="1"/>
      <w:numFmt w:val="decimal"/>
      <w:lvlText w:val="%4."/>
      <w:lvlJc w:val="left"/>
      <w:pPr>
        <w:ind w:left="2520" w:hanging="360"/>
      </w:pPr>
      <w:rPr>
        <w:smallCaps w:val="0"/>
        <w:strike w:val="0"/>
        <w:shd w:fill="auto" w:val="clear"/>
        <w:vertAlign w:val="baseline"/>
      </w:rPr>
    </w:lvl>
    <w:lvl w:ilvl="4">
      <w:start w:val="1"/>
      <w:numFmt w:val="lowerLetter"/>
      <w:lvlText w:val="%5."/>
      <w:lvlJc w:val="left"/>
      <w:pPr>
        <w:ind w:left="3240" w:hanging="360"/>
      </w:pPr>
      <w:rPr>
        <w:smallCaps w:val="0"/>
        <w:strike w:val="0"/>
        <w:shd w:fill="auto" w:val="clear"/>
        <w:vertAlign w:val="baseline"/>
      </w:rPr>
    </w:lvl>
    <w:lvl w:ilvl="5">
      <w:start w:val="1"/>
      <w:numFmt w:val="lowerRoman"/>
      <w:lvlText w:val="%6."/>
      <w:lvlJc w:val="left"/>
      <w:pPr>
        <w:ind w:left="3960" w:hanging="300"/>
      </w:pPr>
      <w:rPr>
        <w:smallCaps w:val="0"/>
        <w:strike w:val="0"/>
        <w:shd w:fill="auto" w:val="clear"/>
        <w:vertAlign w:val="baseline"/>
      </w:rPr>
    </w:lvl>
    <w:lvl w:ilvl="6">
      <w:start w:val="1"/>
      <w:numFmt w:val="decimal"/>
      <w:lvlText w:val="%7."/>
      <w:lvlJc w:val="left"/>
      <w:pPr>
        <w:ind w:left="4680" w:hanging="360"/>
      </w:pPr>
      <w:rPr>
        <w:smallCaps w:val="0"/>
        <w:strike w:val="0"/>
        <w:shd w:fill="auto" w:val="clear"/>
        <w:vertAlign w:val="baseline"/>
      </w:rPr>
    </w:lvl>
    <w:lvl w:ilvl="7">
      <w:start w:val="1"/>
      <w:numFmt w:val="lowerLetter"/>
      <w:lvlText w:val="%8."/>
      <w:lvlJc w:val="left"/>
      <w:pPr>
        <w:ind w:left="5400" w:hanging="360"/>
      </w:pPr>
      <w:rPr>
        <w:smallCaps w:val="0"/>
        <w:strike w:val="0"/>
        <w:shd w:fill="auto" w:val="clear"/>
        <w:vertAlign w:val="baseline"/>
      </w:rPr>
    </w:lvl>
    <w:lvl w:ilvl="8">
      <w:start w:val="1"/>
      <w:numFmt w:val="lowerRoman"/>
      <w:lvlText w:val="%9."/>
      <w:lvlJc w:val="left"/>
      <w:pPr>
        <w:ind w:left="6120" w:hanging="300"/>
      </w:pPr>
      <w:rPr>
        <w:smallCaps w:val="0"/>
        <w:strike w:val="0"/>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u2z/y7HmmTFRMdwVYwN1ZO+2TQ==">AMUW2mUCAjON4ucHN5CJNjeK5Txf6uzqD5F5UuupwrqlGGHRatAuTTdSIJQ0ErKeJVcOgBxilk3tNt9PQjbWClnLchR92gL7RpjJXMcZD1hMajlWdElmbSjOt8IJAgpsYGf29eYUuIHp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