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Style w:val="Heading1"/>
        <w:rPr/>
      </w:pPr>
      <w:bookmarkStart w:colFirst="0" w:colLast="0" w:name="_heading=h.67u192dvbek4" w:id="1"/>
      <w:bookmarkEnd w:id="1"/>
      <w:r w:rsidDel="00000000" w:rsidR="00000000" w:rsidRPr="00000000">
        <w:rPr/>
        <w:drawing>
          <wp:anchor allowOverlap="1" behindDoc="0" distB="114300" distT="114300" distL="114300" distR="114300" hidden="0" layoutInCell="1" locked="0" relativeHeight="0" simplePos="0">
            <wp:simplePos x="0" y="0"/>
            <wp:positionH relativeFrom="margin">
              <wp:posOffset>4500205</wp:posOffset>
            </wp:positionH>
            <wp:positionV relativeFrom="margin">
              <wp:posOffset>-539794</wp:posOffset>
            </wp:positionV>
            <wp:extent cx="1691648" cy="899461"/>
            <wp:effectExtent b="0" l="0" r="0" t="0"/>
            <wp:wrapSquare wrapText="bothSides" distB="114300" distT="114300" distL="114300" distR="114300"/>
            <wp:docPr id="5"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1691648" cy="899461"/>
                    </a:xfrm>
                    <a:prstGeom prst="rect"/>
                    <a:ln/>
                  </pic:spPr>
                </pic:pic>
              </a:graphicData>
            </a:graphic>
          </wp:anchor>
        </w:drawing>
      </w:r>
      <w:r w:rsidDel="00000000" w:rsidR="00000000" w:rsidRPr="00000000">
        <w:rPr>
          <w:rtl w:val="0"/>
        </w:rPr>
        <w:t xml:space="preserve">Lisa. Regionaaltasandi kui uurimisobjekti määratlemine </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5a5a5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Regionaaltasandile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on antud väga erinevaid tähendusi olenevalt kontekstist, kus seda kasutatakse. Analüüsi teostav uurimisrühm on nii akadeemilisemas teoreetilises kui ka praktilisemas rakenduslikus plaanis arutanud korduvalt regiooni tähenduse olemust ja varjundeid erinevates käsitluses. </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Üks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esimesi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erisusi regiooni tähenduse mõtestamisel tuleneb sellest, et regiooni kui (analüüsi) objekti võib käsitleda nii valitsemiskorralduslikust kui poliitikameetmete aspektist. Need omakorda võivad kattuda, aga võivad ka mitte kattuda. </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2923539</wp:posOffset>
            </wp:positionH>
            <wp:positionV relativeFrom="paragraph">
              <wp:posOffset>60325</wp:posOffset>
            </wp:positionV>
            <wp:extent cx="3584575" cy="2697480"/>
            <wp:effectExtent b="0" l="0" r="0" t="0"/>
            <wp:wrapSquare wrapText="bothSides" distB="57150" distT="57150" distL="57150" distR="57150"/>
            <wp:docPr id="8"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584575" cy="2697480"/>
                    </a:xfrm>
                    <a:prstGeom prst="rect"/>
                    <a:ln/>
                  </pic:spPr>
                </pic:pic>
              </a:graphicData>
            </a:graphic>
          </wp:anchor>
        </w:drawing>
      </w:r>
      <w:r w:rsidDel="00000000" w:rsidR="00000000" w:rsidRPr="00000000">
        <w:drawing>
          <wp:anchor allowOverlap="1" behindDoc="0" distB="57150" distT="57150" distL="57150" distR="57150" hidden="0" layoutInCell="1" locked="0" relativeHeight="0" simplePos="0">
            <wp:simplePos x="0" y="0"/>
            <wp:positionH relativeFrom="column">
              <wp:posOffset>-655954</wp:posOffset>
            </wp:positionH>
            <wp:positionV relativeFrom="paragraph">
              <wp:posOffset>57150</wp:posOffset>
            </wp:positionV>
            <wp:extent cx="3582035" cy="2698750"/>
            <wp:effectExtent b="0" l="0" r="0" t="0"/>
            <wp:wrapSquare wrapText="bothSides" distB="57150" distT="57150" distL="57150" distR="57150"/>
            <wp:docPr id="9"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3582035" cy="2698750"/>
                    </a:xfrm>
                    <a:prstGeom prst="rect"/>
                    <a:ln/>
                  </pic:spPr>
                </pic:pic>
              </a:graphicData>
            </a:graphic>
          </wp:anchor>
        </w:drawing>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Allikas: R. Noorkõiv ja P. Ristkok. Ettekanne Eesti arengu tasakaalustamatus</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ja regionaalpoliitika. 07.06.2019. </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Teine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keerukus tuleneb valitsemistasandite mitmekesisusest ja sellest tulenevalt regiooni paigutumises nende suhtes. Kui valitsemistasandid üldisemalt saab jaotada kaheks – kohalik tasand ja riigi keskvalitsuse tasand –, siis kuhu nende suhtes paigutub regionaalne tasand. Ehk siis kas regionaalne tasand on/ peaks olema omavalitsuslik või riikliku valitsemistasandi osa. Samuti, kui Eestis on ühetasandilise omavalitsussüsteemi tõttu suhteliselt lihtne valitsemise vertikaal, siis Euroopa valitsemispraktikad tunnevad kuni kolme kohaliku valitsemise tasandit. Milline on sellisel juhul regionaalse valitsemistasandi objekt? </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Kolmas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keerukus tuleneb funktsioonide jaotusest. Ka Eestis on pikalt olnud kohalike ja riiklike ülesannete piiritlemise küsimus alates Riigikohus otsusest 6. märtsil 2010. a kohtuasjas nr 3-4-1-8-09</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superscript"/>
        </w:rPr>
        <w:footnoteReference w:customMarkFollows="0" w:id="0"/>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mille kohaselt oli põhiseadusega vastuolus olevaks selliste õigustloovate aktide andmata jätmine, mis: 1) sätestaksid, millised seadusega kohaliku omavalitsuse üksustele pandud kohustused on omavalitsuslikud ja millised riiklikud; 2) eristaksid kohaliku omavalitsuse üksustele kohaliku elu küsimuste otsustamiseks ja korraldamiseks ette nähtud raha riiklike kohustuste täitmiseks mõeldud rahast ning näeksid ette kohaliku omavalitsuse üksustele seadusega pandud riiklike kohustuste rahastamise riigieelarvest. Selle vaidluse tuum on mitte ainult ülesannete jaotumine riiklikena ja omavalitsuslikena, vaid ka kohalike ja üleriigilistena. St on ülesandeid, mis oma olemuselt on kohalikud (inimesele võimalikult lähedal täiendatavad), kuid riigi keksvalitsuse osutatavad ja on ülesandeid, mis on üleriigilised, kuid kohalike omavalitsuste poolt täidetavad. Esimesel juhul Eestis kontekstis näiteks pääseteenuse tagamise (tuletõrje peab olema inimeste lähedal, et sellest oleks kasu) ja teisel juhul näiteks üleriigilise omavalitsuste liidu (ELVL) omavalitsuse nimel riigieelarve läbirääkimistel osalemine. Ning selle kõige juures on hulk ülesandeid, mis on segapädevuses, kus on nii kohalik kui riiklik „juur“ ja mida täidetakse nii kohalikul kui riiklikul tasandil (nt rahvastikuregistri toiminguid). Debati neid tahkusid on põhjalikumalt avanud omaaegne Riigikohtu nõunik Tim Kolk</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superscript"/>
        </w:rPr>
        <w:footnoteReference w:customMarkFollows="0" w:id="1"/>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Segapädevuses ülesannete tegelikku praktikat demonstreerib ka järgnev tabel. </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760721" cy="3819525"/>
            <wp:effectExtent b="0" l="0" r="0" t="0"/>
            <wp:docPr descr="Pilt 3" id="6" name="image1.png"/>
            <a:graphic>
              <a:graphicData uri="http://schemas.openxmlformats.org/drawingml/2006/picture">
                <pic:pic>
                  <pic:nvPicPr>
                    <pic:cNvPr descr="Pilt 3" id="0" name="image1.png"/>
                    <pic:cNvPicPr preferRelativeResize="0"/>
                  </pic:nvPicPr>
                  <pic:blipFill>
                    <a:blip r:embed="rId11"/>
                    <a:srcRect b="0" l="0" r="0" t="0"/>
                    <a:stretch>
                      <a:fillRect/>
                    </a:stretch>
                  </pic:blipFill>
                  <pic:spPr>
                    <a:xfrm>
                      <a:off x="0" y="0"/>
                      <a:ext cx="5760721" cy="381952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Allikas: OECD (2013) Making Decentralisation Work: a Handbook for Policy-Makers. Lk 79</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Nende väga keerukate valitsemiskorralduslike küsimuste arutelu tulemusena on formuleeris uurimisrühm, et käesolevas analüüsis käsitletakse regiooni mõistena: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valitsemistasand, mis asub kohaliku omavalitsuse ja riigi kesktasandi vahel</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superscript"/>
        </w:rPr>
        <w:footnoteReference w:customMarkFollows="0" w:id="2"/>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Seega analüüsis omab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regioon ennekõike valitsemislikku/ juhtimislikku tähendust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arvestame tänast Eesti konteksti (ühetasandiline omavalitsussüsteem) ning et regionaalne valitsemine või olla nii riiklik kui kohalik. Samatähenduslikuna kasutatakse mõisteid: </w:t>
      </w:r>
      <w:r w:rsidDel="00000000" w:rsidR="00000000" w:rsidRPr="00000000">
        <w:rPr>
          <w:rFonts w:ascii="Times New Roman" w:cs="Times New Roman" w:eastAsia="Times New Roman" w:hAnsi="Times New Roman"/>
          <w:b w:val="0"/>
          <w:i w:val="0"/>
          <w:smallCaps w:val="0"/>
          <w:strike w:val="0"/>
          <w:color w:val="000000"/>
          <w:sz w:val="24"/>
          <w:szCs w:val="24"/>
          <w:u w:val="single"/>
          <w:shd w:fill="auto" w:val="clear"/>
          <w:vertAlign w:val="baseline"/>
          <w:rtl w:val="0"/>
        </w:rPr>
        <w:t xml:space="preserve">regionaalne haldus, regionaalne valitsemine, regionaalne juhtimine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Nii riiklike kui kohalike ülesannete jaotuse loogika kui valitsemistasandite jaotus ning regionaaltasandi (kui juhtimistasandi) paiknemine nendes on esialgsena esitatud järgnevad joonisel. Selle kohaselt määratleme regionaalse juhtimise kesk- ja kohaliku tasandi vahel asetsevana, kuid ei välista selle riiklikku ega omavalitsuslikku olemust. Siiski selle paiknemine eeldaks mõlema tasandi integratsiooni. Teiselt poolt näeme, et regionaaltasandi funktsioonid võivad hõlmata nii riiklike kui kohalikke ülesandeid. </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Joonis. Regionaalse juhtimistasandi paiknemine valitsemissüsteemis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(joonise esialgne versioon)</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756783" cy="2157155"/>
            <wp:effectExtent b="0" l="0" r="0" t="0"/>
            <wp:docPr descr="Picture 3" id="7" name="image2.png"/>
            <a:graphic>
              <a:graphicData uri="http://schemas.openxmlformats.org/drawingml/2006/picture">
                <pic:pic>
                  <pic:nvPicPr>
                    <pic:cNvPr descr="Picture 3" id="0" name="image2.png"/>
                    <pic:cNvPicPr preferRelativeResize="0"/>
                  </pic:nvPicPr>
                  <pic:blipFill>
                    <a:blip r:embed="rId12"/>
                    <a:srcRect b="25000" l="0" r="27926" t="0"/>
                    <a:stretch>
                      <a:fillRect/>
                    </a:stretch>
                  </pic:blipFill>
                  <pic:spPr>
                    <a:xfrm>
                      <a:off x="0" y="0"/>
                      <a:ext cx="5756783" cy="2157155"/>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pStyle w:val="Heading2"/>
        <w:rPr/>
      </w:pPr>
      <w:bookmarkStart w:colFirst="0" w:colLast="0" w:name="_heading=h.30j0zll" w:id="2"/>
      <w:bookmarkEnd w:id="2"/>
      <w:r w:rsidDel="00000000" w:rsidR="00000000" w:rsidRPr="00000000">
        <w:rPr>
          <w:rtl w:val="0"/>
        </w:rPr>
        <w:t xml:space="preserve">3.1. Regiooni mõiste</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Uurimisteema üks olulisemaid termineid on kindlasti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regioon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Paraku regiooni ei ole võimalik üheselt ja universaalselt defineerida, sest kõik sõltub kontekstist. Nt Euroopa Liidus ja laiemalt kogu Euroopas on üks võimalikke regioone Läänemere regioon, aga meil siseriiklikult võib olla üks regioon nt Kagu-Eesti, mis hõlmab Jõgeva, Põlva, Tartu, Valga ja Võru maakonda.</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Uurimisteema raames tuleks valdavalt kasutada termineid „regionaalhaldus“ või „regionaalne juhtimine“.</w:t>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1997. aastal kiitis Euroopa Kohalike ja Regionaalsete Omavalitsuste Kongress CLRAE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Congress of Local and Regional Authorities of Europe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heaks Euroopa regionaalse omavalitsuse harta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superscript"/>
        </w:rPr>
        <w:footnoteReference w:customMarkFollows="0" w:id="3"/>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Seda mõjutas ühelt poolt 1985. aastal Euroopa Nõukogus sõlmitud Euroopa kohaliku omavalitsuse harta tulemuslik mõju siinsete riikide (eelkõige üleminekuriikide) demokratiseerimisele, aga ka teravdunud probleemid mitmetes riikides regioonide autonoomiaga (nt Itaalias Trentino, Hispaanias Baskimaa, Suurbritannias Šotimaa jne). Siiski ei saanud Euroopa regionaalse omavalitsuse harta Euroopa Nõukogu ametlikuks regulatsiooniks (erinevalt Euroopa kohaliku omavalitsuse hartast). </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Küll aga on otstarbekas tugineda Euroopa regionaalse omavalitsuse harta projekti artiklile 3, mille kohaselt ja harta tähenduses on regionaalsed võimuorganid territoriaalsed võimuorganid, mis asuvad keskvalitsuse ja kohalike omavalitsuste vahel. Seega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regionaalne juhtimine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toimib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riigi kesktasandi ja kohaliku omavalitsuse tasandite vahel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(maakond, ringkond, mingi piirkonna kohaliku omavalitsuse üksuste koostöö).</w:t>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Esmakordselt formuleeriti meil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regionaalpoliitika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põhimõtted, vajalikkus ja eesmärgid 1989. aastal IME kontseptsioonis, kus oli peatükk regionaalpoliitikast. Regionaalpoliitikat defineeriti aga alles 1994. aasta 13. detsembril Vabariigi Valitsuse poolt heaks kiidetud</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regionaalpoliitika kontseptsioonis (RTL 1995, 44, 1504):</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“Regionaalpoliitika on avaliku võimu sihipärane tegevus riigi kõigi piirkondade arengueelduste loomiseks ning sotsiaalmajandusliku arengu tasakaalustamiseks, lähtudes piirkondade ja riigi kui terviku huvidest. Regionaalpoliitika on riigi poliitika osa, mis täiendab ja seostab omavahel riigis toimivaid harupoliitikaid.”</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Kohaliku omavalitsuse ja regionaalpoliitika seoseid märgiti 2000. aastal Euroopa Nõukogus (EN) Eesti kohta koostatud raportis. Euroopa Kohalike ja Regionaalsete Omavalitsuste Kongressil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(Congress of Local and Regional Authorities of Europe – CLRAE)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23.–25. mail 2000. aastal kiideti heaks “Ettepanekute eelnõu kohaliku demokraatia olukorra kohta Eestis”, mis analüüsis Euroopa kohaliku omavalitsuse harta põhimõtete järgimist meil. Muuhulgas rõhutati selles dokumendis, et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“kohaliku omavalitsuse organite kaasamist regionaalpoliitika väljatöötamisse tuleks parandada”</w:t>
      </w: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Nüüd on regionaalpoliitika kõigi erakondade programmides ja sageli valimisloosungites, rääkimata Koalitsioonilepetest. </w:t>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Eesti Keskerakonna, Eesti Konservatiivse Rahvaerakonna ning Isamaa Erakonna valitsusliidu aluspõhimõtetes 2019-2023 on „5. Kohalik elu ja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regionaalpoliitika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Muuhulgas on selles punktis seatud eesmärkideks: </w:t>
      </w:r>
    </w:p>
    <w:p w:rsidR="00000000" w:rsidDel="00000000" w:rsidP="00000000" w:rsidRDefault="00000000" w:rsidRPr="00000000" w14:paraId="0000002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color w:val="000000"/>
          <w:sz w:val="24"/>
          <w:szCs w:val="24"/>
          <w:u w:val="no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Toetame kohalike omavalitsuste ühistegevuse võimekuse tugevdamist maakonna ulatusega ülesannete ühiseks täitmiseks ja arengu kavandamiseks. </w:t>
      </w:r>
      <w:r w:rsidDel="00000000" w:rsidR="00000000" w:rsidRPr="00000000">
        <w:rPr>
          <w:rtl w:val="0"/>
        </w:rPr>
      </w:r>
    </w:p>
    <w:p w:rsidR="00000000" w:rsidDel="00000000" w:rsidP="00000000" w:rsidRDefault="00000000" w:rsidRPr="00000000" w14:paraId="0000002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color w:val="000000"/>
          <w:sz w:val="24"/>
          <w:szCs w:val="24"/>
          <w:u w:val="no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Motiveerime kohalikke omavalitsusi soosima ettevõtlust. </w:t>
      </w:r>
      <w:r w:rsidDel="00000000" w:rsidR="00000000" w:rsidRPr="00000000">
        <w:rPr>
          <w:rtl w:val="0"/>
        </w:rPr>
      </w:r>
    </w:p>
    <w:p w:rsidR="00000000" w:rsidDel="00000000" w:rsidP="00000000" w:rsidRDefault="00000000" w:rsidRPr="00000000" w14:paraId="0000002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color w:val="000000"/>
          <w:sz w:val="24"/>
          <w:szCs w:val="24"/>
          <w:u w:val="no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Lihtsustame ettevõtluse edendamiseks vajaliku maa üleandmist kohalikele omavalitsustele.</w:t>
      </w:r>
      <w:r w:rsidDel="00000000" w:rsidR="00000000" w:rsidRPr="00000000">
        <w:rPr>
          <w:rtl w:val="0"/>
        </w:rPr>
      </w:r>
    </w:p>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color w:val="000000"/>
          <w:sz w:val="24"/>
          <w:szCs w:val="24"/>
          <w:u w:val="no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Anname kohalikele omavalitsustele täiendavaid ülesandeid, mida nad efektiivsemalt täita suudavad, ja kasvatame vastavalt ka tulubaasi. </w:t>
      </w: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pStyle w:val="Heading2"/>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1fob9te" w:id="3"/>
      <w:bookmarkEnd w:id="3"/>
      <w:r w:rsidDel="00000000" w:rsidR="00000000" w:rsidRPr="00000000">
        <w:rPr>
          <w:rtl w:val="0"/>
        </w:rPr>
        <w:t xml:space="preserve">3.2. Regionaalse valitsemise õiguslikud printsiibid</w:t>
      </w:r>
      <w:r w:rsidDel="00000000" w:rsidR="00000000" w:rsidRPr="00000000">
        <w:rPr>
          <w:rFonts w:ascii="Calibri" w:cs="Calibri" w:eastAsia="Calibri" w:hAnsi="Calibri"/>
          <w:b w:val="0"/>
          <w:i w:val="0"/>
          <w:vertAlign w:val="superscript"/>
        </w:rPr>
        <w:footnoteReference w:customMarkFollows="0" w:id="4"/>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Euroopa Nõukogu on sarnaselt Kohaliku omavalitsuse hartale välja töötanud Regionaalse Demokraatia Lähteraamistiku koos Euroopaliku valitsemispõhimõtteid ja väärtusvalikuid arvestavate soovitustelega. Vastav lähteraamistik on esitatud 2009. aastal Euroopa Nõukogu Kohalike ja Regionaalsete Võimuorganite Kongressi poolt Esitatud kohalike ja regionaalsete võimuorganite ministritele nõukogule, kes võttis selle teadmiseks, kuid mis ei ole saanud Euroopa Nõukogu tasandi õigusliku kokkuleppe jõudu. Lähteraamistiku mitte ametiliku tõlke täisteks koos teiste asjasse puudutvate seisukohtadega on esitatud käesoleva analüüsi lisas. Järgevalt on esitatus selle sisuosa väljavõte, mis käsitleb regionaalse valitsemistasandi soovituslikke baaspõhimõtteid. See ei tähenda, et peame Eesti vastavate ettepanekute väljatöötamisel nendega kogu ulatuses arvestama, kuid peaksime neid siiski kui laialdaste arutelude ja ekspertide kaasamisel väljatöötaud põhimõtteid Eesti regionaalse valitsemise süsteemi kujundamisel võimalusel arvesta. </w:t>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4">
      <w:pPr>
        <w:pStyle w:val="Heading3"/>
        <w:rPr/>
      </w:pPr>
      <w:bookmarkStart w:colFirst="0" w:colLast="0" w:name="_heading=h.3znysh7" w:id="4"/>
      <w:bookmarkEnd w:id="4"/>
      <w:r w:rsidDel="00000000" w:rsidR="00000000" w:rsidRPr="00000000">
        <w:rPr>
          <w:rtl w:val="0"/>
        </w:rPr>
        <w:t xml:space="preserve">3.2.1 Regionaalse valitsemise põhimõtted</w:t>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 Regionaalne ülesehitus</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1.1. Regionaalne struktuur</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Regionaalsed võimuorganid on keskvalitsuse ja kohalike võimuorganite vahel olevad võimuorganid. See ei tähenda tingimata hierarhilist suhet regionaalsete ja kohalike võimuorganite vahel.</w:t>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Seal, kus regionaalsed võimuorganid eksisteerivad, tunnustatakse – arvestades otstarbekusega - regionaalse omavalitsuse põhimõtet siseriiklikus seadusandluses ja/või konstitutsioonis.</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1.2. Pädevused</w:t>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Regionaalne omavalitsus tähendab regionaalsete võimuorganite õiguspädevust ja võimet konstitutsiooni ja seaduse raames reguleerida ja juhtida osa ühiskondlikke asju omal vastutusel regionaalse elanikkonna huvides ja kooskõlas subsidiaarsuse põhimõttega.</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Regionaalsed pädevused määratakse kindlaks konstitutsiooniga, regiooni statuutidega või riigi seadusega. Regionaalsetel võimuorganitel on seaduse ja/või konstitutsiooni raames täielik kaalutlusõigus teostada oma algatust iga küsimuse suhtes, mis ei ole nende pädevusest välistatud ega määratud mingile muule võimuorganile. Regionaalsete pädevuste regulatsioon või piirangud rajanevad konstitutsioonil ja/või seadusel.</w:t>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 Regionaalsetel võimuorganitel on otsustusõigus ja haldusvolitused valdkondades, mida hõlmavad nende omapädevused. Need võimuvolitused lubavad regioonile spetsiifiliste poliitikate heakskiitmist ja rakendamist. Otsustamisvolitused võivad sisaldada seadusandlikke võimuvolitusi.</w:t>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 Spetsiifilistel eesmärkidel ja seaduse raames võivad muud võimuorganid anda regionaalsetele võimuorganitele pädevusi.</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 Kui võimuvolitused delegeeritakse regionaalsetele võimuorganitele, lubatakse neile kaalutlusõigust kohandamaks nende teostamist regionaalsetele tingimustele konstitutsiooni ja/või seaduse poolt kindaks määratud raames.</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 Regionaalsed võimuorganid vastutavad regionaalse kultuuri edendamise ja regiooni kultuuripärandi, sealhulgas regionaalkeelte kaitse ning suurendamise eest.</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9. Regionaalse majanduse arendamine moodustab regionaalse vastutuse olulise aspekti, mida viiakse ellu koostöös ettevõtjatega regioonis.</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10. Regionaalsed võimuorganid aitavad kohandada haridust ja kutseõppevõimalusi tööhõive arengu nõuetele regioonis.</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11. Sotsiaalhoolekanne ja ühiskondlik tervishoid on regionaalsete võimuorganite vastutusvaldkondade seas, mis vastutavad ka sotsiaalse sidususe edendamise eest regioonis.</w:t>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12. Territooriumi tasakaalustatud arendamine moodustab regionaalsete võimuorganite iga tegevuse põhieesmärgi, mõjutades regiooni territoriaalset korraldust.</w:t>
      </w:r>
      <w:r w:rsidDel="00000000" w:rsidR="00000000" w:rsidRPr="00000000">
        <w:rPr>
          <w:rtl w:val="0"/>
        </w:rPr>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 Regionaalsed võimuorganid vastutavad loodusressursside ja bioloogilise mitmekesisuse kaitse ning suurendamise eest ja tagavad regiooni jätkusuutliku arengu, pidades nõuetekohaselt silmas kohalikke, riiklikke, Euroopa ja rahvusvahelisi poliitikaid selle suhtes.</w:t>
      </w:r>
      <w:r w:rsidDel="00000000" w:rsidR="00000000" w:rsidRPr="00000000">
        <w:rPr>
          <w:rtl w:val="0"/>
        </w:rPr>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1.3. Suhted teiste valitsemistasanditega</w:t>
      </w:r>
      <w:r w:rsidDel="00000000" w:rsidR="00000000" w:rsidRPr="00000000">
        <w:rPr>
          <w:rtl w:val="0"/>
        </w:rPr>
      </w:r>
    </w:p>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14. Suhteid regionaalsete võimuorganite ja muude riigist alamalseisvate võimuorganite vahel reguleerivad regionaalse omavalitsuse põhimõtted, mis on esitatud käesolevas dokumendis, ja kohaliku omavalitsuse põhimõtted, mis on esitatud Euroopa Kohaliku Omavalitsuse Hartas, ning subsidiaarsuse põhimõte.</w:t>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15. Regionaalsed võimuorganid ja muud riigist alamalseisvad territoriaalsed võimuorganid võivad seadusega kindlaks määratud piires määrata kindlaks oma vastastikuse suhte ning võivad üksteisega teha koostööd.</w:t>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16. Regionaalsed võimuorganid teevad koostööd kohalike võimuorganitega üldhuvi eesmärkide taotlemisel ja kodanike vajaduste rahuldamisel.</w:t>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17. Kohalike võimuorganitega konsulteeritakse nii palju kui võimalik, õigeaegselt ja sobival viisil kõigi neid vahetult puudutavate küsimuste planeerimisel ja otsustamise.</w:t>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ab/>
        <w:t xml:space="preserve">1.4. Suhted keskvõimuorganitega</w:t>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t xml:space="preserve">1.4.1. Kaasatus otsustamisse</w:t>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18. Regionaalsetel võimuorganitel on õigus, nagu seda kirjeldatakse paragrahvides 3.2. ja 3.3. allpool olla kaasatud riigi otsuste tegemisse, mis mõjutavad nende pädevust ja olulisi huve või regionaalse omavalitsuse ulatust.</w:t>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19. See kaasatus tagatakse esindatuse kaudu otsuseid tegevates organites ja/või konsulteerimise ning arutelu kaudu riigi ja asjaomaste regionaalsete võimuorganite vahel. Kus see on kohane, võib osaluse tagada ka konsultatsioonide ja arutelude kaudu riigiorganite ja regionaalsete võimuorganite esinduskogude vahel.</w:t>
      </w:r>
    </w:p>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 Sel määral, mil konstitutsioon ja/või seadus seda võimaldab, on regionaalsed võimuorganid ja/või nende esinduskogud esindatud või nendega konsulteeritakse sobivate organite ja/või menetluste kaudu riigi rahvusvaheliste läbirääkimiste ja lepingute rakendamise osas, milles on kaalul nende pädevused või regionaalse omavalitsuse ulatus.</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1.4.2. Järelevalve ja asendamine</w:t>
      </w: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21. Igasugune regionaalsete võimuorganite üle keskvõimuorganite poolt teostatav järelevalve on harilikult suunatud üksnes nende seadusega kooskõlas oleku tagamisele. Siiski võib järelevalve delegeeritud võimuvolituste üle sisaldada ka otstarbekuse hindamist.</w:t>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 Haldusjärelevalvet regionaalsete võimuorganite üle võib teostada üksnes kooskõlas selliste menetlustega ja sellistel juhtudel, mille näevad ette konstitutsioonilised või seadusandlikud sätted. Sellist järelevalvet teostatakse ex post facto ja iga kohaldatav meede peab olema proportsionaalne nende huvide tähtsusega, mida ta on mõeldud kaitsma.</w:t>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 Riigi või föderaalsete võimuorganite õigust ajutiseks asenduseks, selleks et tegutseda regionaalsete võimuorganite asemel, võib teostada üksnes erandjuhtudel ja menetluste kohaselt, mis on ette nähtud konstitutsiooni või seadusega. See õigus piirdub spetsiifiliste juhtumitega, kus regionaalsed võimuorganid olid tõsiselt suutmatud teostama neile antud pädevusi, ja seda kasutatakse kooskõlas proportsionaalsuse põhimõttega nende huvide valguses, mida ta on mõeldud kaitsma.</w:t>
      </w:r>
    </w:p>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24. Asendusmeetmest tulenev otsustamisõigus usaldatakse personalile, kes tegutseb üksnes asjaomase regionaalse võimuorgani huvides, välja arvatud delegeeritud volituste puhul.</w:t>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1.4.3. Lojaalsus, territoriaalne terviklikkus ja sidusus</w:t>
      </w:r>
      <w:r w:rsidDel="00000000" w:rsidR="00000000" w:rsidRPr="00000000">
        <w:rPr>
          <w:rtl w:val="0"/>
        </w:rPr>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25. Suhe regionaalsete võimuorganite ja keskvalitsuse vahel rajaneb vastastikuse lojaalsuse ja võrdse väärikuse põhimõttel ja sisaldab austust riigi ühtsuse, suveräänsuse ning   territoriaalse terviklikkuse vastu.</w:t>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26. Regionaalne omavalitsus tähendab paratamatult kooskõla õigusriiklusega ja austust iga riigi territoriaalse korralduse vastu kas suhetes keskvalitsuse ja regionaalsete võimuorganite, suhetes regionaalsete võimuorganite ja muude territoriaalsete võimuorganite või suhetes regionaalsete võimuorganite ja kodanike vahel.</w:t>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27. Regionaalsed võimuorganid võtavad kõik sobivad meetmed selleks, et tagada konstitutsioonist või seadusest tulenevate kohustuste täitmine.</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28. Regionaalse omavalitsuse teostamine aitab kaasa keskvalitsuse majanduslikele ja sotsiaalse sidususe eesmärkidele ja keskvalitsuse tegevustele, mis on suunatud kogu riigi territooriumil võrreldavate elutingimuste ja tasakaalustatud arengu saavutamisele , regionaalsete võimuorganite vahelise solidaarsuse vaimus.</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1.5. Regionaalse omavalitsuse kaitse</w:t>
      </w:r>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29. Regionaalsed võimuorganid võivad olla ette nähtud konstitutsiooniga või loodud seadusega. Kord moodustatud regioonide olemasolu tagatakse konstitutsiooniga ja/või seadusega ning selle võib tühistada sellesama nõuetekohase konstitutsiooni ja/või seaduse muutmise menetlusega, millega nad loodi.</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30. Regionaalsetel võimuorganitel on õigus kasutada õiguskaitsevahendeid, et tagada oma võimuvolituste vaba teostamine ja respekt siseriiklikus õiguses sätestatud regionaalse omavalitsuse printsiipide suhtes.</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31. Regionaalseid piire ei muudeta ilma asjaomas(t)e regiooni(de)ga eelnevalt konsulteerimata. Eelnev konsulteerimine võib sisaldada referendumit.</w:t>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5">
      <w:pPr>
        <w:pStyle w:val="Heading3"/>
        <w:rPr/>
      </w:pPr>
      <w:bookmarkStart w:colFirst="0" w:colLast="0" w:name="_heading=h.2et92p0" w:id="5"/>
      <w:bookmarkEnd w:id="5"/>
      <w:r w:rsidDel="00000000" w:rsidR="00000000" w:rsidRPr="00000000">
        <w:rPr>
          <w:rtl w:val="0"/>
        </w:rPr>
        <w:t xml:space="preserve">3.3.2. Regionaalsed organid ja sisekorraldus (regionaalne demokraatia)</w:t>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2.1. Enesekorraldus</w:t>
      </w: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 Kui konstitutsioon ja/või seadus näeb ette regioonide õiguse otsustada oma sisekorralduse üle, sealhulgas oma statuutide ja oma institutsioonide üle, määratleb see selle õiguse nii avaralt kui võimalik.</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2.2. Regionaalsed organid</w:t>
      </w:r>
    </w:p>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 Regionaalsetel võimuorganitel on esindusassamblee. Täidesaatvad funktsioonid, kui neid ei teosta vahetult esinduskogu, usaldatakse nende eest vastutavale isikule või organile kooskõlas seadusega kindlaksmääratud tingimustele ja menetlustele. Kui täidesaatva organi valib elanikkond otse, ei pea see tingimata olema vastutav esindusassamblee ees, kuid peab oma toimingutest andma talle aru.</w:t>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 Regionaalse omavalitsuse õigust teostavad otse, vabalt ja salajase hääletamise teel valitavad assambleed. See säte ei mõjuta mingil moel kodanike assambleede, referendumite  või mõne muu vahetu kodanikuosaluse vormi kasutamist, kui seda lubab seadus.</w:t>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35. Regionaalsed assambleed valitakse otse vaba ja salajase hääletamise teel, mis rajaneb üldisel valimisõigusel, või valitakse kaudselt ja koosnevad  rahva poolt valitud kohaliku omavalitsuse organitesse kuuluvatest esindajatest.</w:t>
      </w:r>
    </w:p>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2.3. Õiguslik staatus</w:t>
      </w:r>
      <w:r w:rsidDel="00000000" w:rsidR="00000000" w:rsidRPr="00000000">
        <w:rPr>
          <w:rtl w:val="0"/>
        </w:rPr>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36. Valitud regionaalsete esindajate õiguslik staatus näeb ette nende funktsioonide vaba teostamise. Neile võimaldatakse kohane rahaline toetus ja/või kohane rahaline hüvitis kõnealuse ameti teostamisega põhjustatud kulude eest, samuti, kui see on sobiv, täielik või osaline hüvitis sissetulekute või tehtud töö eest saadud töötasu ja vastava sotsiaalse kaitse kaotuse eest. Assamblee liikmetel on õigus väljendada end vabalt assamblee istungi vältel. Kõik funktsioonid ja tegevused, mida peetakse ühitamatuks esindaja ametikohaga, määratakse kindlaks seadusega.</w:t>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37. Kui on võimalikud sanktsioonid regionaalselt valitud esindajate vastu, tuleb need ette näha seadusega, need peavad olema proportsionaalsed huvi olulisuse suhtes, mida nad on mõeldud kaitsma, ja olema kohtulikult üle kontrollitavad. Asendus ja ametist vabastamine võib olla ette nähtud üksnes erandjuhtudel.</w:t>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2.4. Regionaaladministratsioon</w:t>
      </w:r>
      <w:r w:rsidDel="00000000" w:rsidR="00000000" w:rsidRPr="00000000">
        <w:rPr>
          <w:rtl w:val="0"/>
        </w:rPr>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38. Regionaalsetel võimuorganitel on oma varad, oma administratsioon ja oma personal.</w:t>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39. Regionaalsed võimuorganid määravad seadusega kindlaks määratud raames vabalt kindlaks oma haldussüsteemi sisemised struktuurid ja oma organid.</w:t>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40. Regionaalsete võimuorganite personali teenistustingimused vastavad avaliku teenistuse üldpõhimõtetele ja on sellised, mis võimaldavad kõrge kvaliteediga personali värbamist väärtuse ja pädevuse alusel; sel eesmärgil nähakse ette adekvaatsed koolitusvõimalused, töötasu ja karjääriperspektiivid.</w:t>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2.5. Hea valitsemine</w:t>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 Regionaalsed võimuorganid julgustavad kodanike õiguse teostamist osaleda avalike asjade juhtimises ja püüavad tuua halduse üldsusele lähemale.</w:t>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 Regionaalse omavalitsuse teostamine vastab informeeritud otsustamise ja tehtud otsuste hindamise põhimõtetele, samuti järgib paindlikkuse, avatuse, läbipaistvuse, osaluse ja üldsuse ees aruandekohustuslikkuse eesmärke.</w:t>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 Avalike ülesannete täitmine regionaalsel tasandil vastab hea halduse ja avalike teenuste hea kvaliteedi põhimõtetele.</w:t>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9">
      <w:pPr>
        <w:pStyle w:val="Heading3"/>
        <w:rPr/>
      </w:pPr>
      <w:bookmarkStart w:colFirst="0" w:colLast="0" w:name="_heading=h.tyjcwt" w:id="6"/>
      <w:bookmarkEnd w:id="6"/>
      <w:r w:rsidDel="00000000" w:rsidR="00000000" w:rsidRPr="00000000">
        <w:rPr>
          <w:rtl w:val="0"/>
        </w:rPr>
        <w:t xml:space="preserve">3.3.3. Rahastamine</w:t>
      </w:r>
    </w:p>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3.1. Ressursid</w:t>
      </w: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44. Regionaalsete võimuorganite käsutuses on prognoositavad ressursid, mis vastavad pädevustele ja vastutusele, võimaldades neil neid pädevusi tõhusalt teostada.</w:t>
      </w:r>
      <w:r w:rsidDel="00000000" w:rsidR="00000000" w:rsidRPr="00000000">
        <w:rPr>
          <w:rtl w:val="0"/>
        </w:rPr>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45. Regionaalsed võimuorganid on võimelised oma ressursse vabalt käsutama oma pädevuste teostamiseks.</w:t>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46. Omapädevuste teostamisel on regionaalsed võimuorganid suutelised tuginema muu hulgas omavahenditele, mida nad võivad vabalt käsutada. Need ressursid võivad sisaldada regionaalseid makse, muid regionaalsete võimuorganite poolt otsustatud tulusid, riiklike maksude fikseeritud osasid, mittesihtotstarbelist riigipoolset ja selle koostisosadeks olevate territoriaalsete võimuorganite poolset rahastamist kooskõlas seadusega.</w:t>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47. Rahastamissüsteemid, millel regionaalsetele võimuorganitele kättesaadavad ressursid rajanevad, on piisavalt mitmekesised ja dünaamilise iseloomuga, et võimaldada neil pidada sammu, niivõrd kui see on praktiliselt võimalik, nende ülesannete täitmise kulude reaalse muutumisega.</w:t>
      </w:r>
      <w:r w:rsidDel="00000000" w:rsidR="00000000" w:rsidRPr="00000000">
        <w:rPr>
          <w:rtl w:val="0"/>
        </w:rPr>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ab/>
        <w:t xml:space="preserve">3.2. Rahaline tasakaalustamine</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48. Rahaliselt nõrgemate regionaalsete võimuorganite kaitse tagatakse rahalise tasakaalustamise menetluste või nendega võrdväärsete meetmete kaudu, mis on kavandatud selleks, et korrigeerida potentsiaalsete rahastusallikate ebavõrdse jaotumise ja neil lasuva finantskoormuse mõjusid. Sellistel menetlustel või meetmetel ei tohi olla regionaalsete võimuorganite rahalistele ressurssidele piiravat toimet sel määral, et see takistakse nende halduse vabadust.</w:t>
      </w:r>
      <w:r w:rsidDel="00000000" w:rsidR="00000000" w:rsidRPr="00000000">
        <w:rPr>
          <w:rtl w:val="0"/>
        </w:rPr>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49. Rahalisi siirdeid regionaalsetele võimuorganitele reguleerivad eelnevalt kindlaks määratud reeglid, mis rajanevad objektiivsetel kriteeriumidel, mis on seotud regionaalsete pädevustega. Niivõrd kui see on võimalik, ei ole toetused regionaalsetele võimuorganitele sihtotstarbelised spetsiifiliste projektide rahastamiseks.</w:t>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50. Rahalised siirded regionaalsetele võimuorganitele ei piira regionaalsete võimuorganite põhilist vabadust teostada poliitilist diskretsiooni oma pädevuste rakendamisel.</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51. Rahalised siirdeid regionaalsetele võimuorganitele reguleerivad reeglid, mis on kehtestatud seadusega ja rajanevad regionaalsete pädevustega seotud objektiivsetel kriteeriumidel.</w:t>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52. Igasuguse pädevuse ülekandmisega regionaalsetele võimuorganitele kaasneb vastavate rahaliste ressursside ülekandmine.</w:t>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i w:val="1"/>
          <w:smallCaps w:val="0"/>
          <w:strike w:val="0"/>
          <w:color w:val="000000"/>
          <w:sz w:val="24"/>
          <w:szCs w:val="24"/>
          <w:u w:val="single"/>
          <w:shd w:fill="auto" w:val="clear"/>
          <w:vertAlign w:val="baseline"/>
          <w:rtl w:val="0"/>
        </w:rPr>
        <w:t xml:space="preserve">3.3. Laenamine</w:t>
      </w:r>
      <w:r w:rsidDel="00000000" w:rsidR="00000000" w:rsidRPr="00000000">
        <w:rPr>
          <w:rtl w:val="0"/>
        </w:rPr>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53. Kapitalimahutuseks laenamise eesmärgil on regionaalsetel võimuorganitel juurdepääs kapitaliturule seaduse raames.</w:t>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5">
      <w:pPr>
        <w:pStyle w:val="Heading3"/>
        <w:rPr/>
      </w:pPr>
      <w:bookmarkStart w:colFirst="0" w:colLast="0" w:name="_heading=h.3dy6vkm" w:id="7"/>
      <w:bookmarkEnd w:id="7"/>
      <w:r w:rsidDel="00000000" w:rsidR="00000000" w:rsidRPr="00000000">
        <w:rPr>
          <w:rtl w:val="0"/>
        </w:rPr>
        <w:t xml:space="preserve">3.3.4. Riiklikud ja rahvusvahelised suhted</w:t>
      </w:r>
    </w:p>
    <w:p w:rsidR="00000000" w:rsidDel="00000000" w:rsidP="00000000" w:rsidRDefault="00000000" w:rsidRPr="00000000" w14:paraId="000000C6">
      <w:pPr>
        <w:pStyle w:val="Heading3"/>
        <w:rPr/>
      </w:pPr>
      <w:r w:rsidDel="00000000" w:rsidR="00000000" w:rsidRPr="00000000">
        <w:rPr>
          <w:rtl w:val="0"/>
        </w:rPr>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54. Regionaalsetel võimuorganitel on õigus moodustada ühendusi ja ette võtta regioonidevahelise koostöö tegevusi oma pädevuses olevates küsimustes ja seaduse raames. Regionaalsed võimuorganid võivad ka olla regionaalsete võimuorganite rahvusvaheliste organisatsioonide liikmeteks.</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55. Niivõrd kui riigi ja/või Euroopa õigus seda võimaldab, on regionaalsetel võimuorganitel õigus olla kaasatud või olla esindatud organite kaudu, mis on moodustatud sel eesmärgil, Euroopa institutsioonide tegevustes.</w:t>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56. Regionaalsed võimuorganid võivad teha koostööd teiste riikide territoriaalsete võimuorganitega oma pädevuste raames ja kooskõlas riigi seadusega, rahvusvaheliste kohustustega ja välispoliitikaga.</w:t>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sectPr>
      <w:headerReference r:id="rId13" w:type="default"/>
      <w:headerReference r:id="rId14" w:type="first"/>
      <w:footerReference r:id="rId15" w:type="first"/>
      <w:pgSz w:h="16840" w:w="11900"/>
      <w:pgMar w:bottom="1417" w:top="1417" w:left="1417" w:right="1417"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hyperlink r:id="rId1">
        <w:r w:rsidDel="00000000" w:rsidR="00000000" w:rsidRPr="00000000">
          <w:rPr>
            <w:rFonts w:ascii="Times New Roman" w:cs="Times New Roman" w:eastAsia="Times New Roman" w:hAnsi="Times New Roman"/>
            <w:b w:val="0"/>
            <w:i w:val="0"/>
            <w:smallCaps w:val="0"/>
            <w:strike w:val="0"/>
            <w:color w:val="275096"/>
            <w:sz w:val="20"/>
            <w:szCs w:val="20"/>
            <w:u w:val="single"/>
            <w:shd w:fill="auto" w:val="clear"/>
            <w:vertAlign w:val="baseline"/>
            <w:rtl w:val="0"/>
          </w:rPr>
          <w:t xml:space="preserve">https://www.riigikohus.ee/et/lahendid?asjaNr=3-4-1-8-09</w:t>
        </w:r>
      </w:hyperlink>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p>
  </w:footnote>
  <w:footnote w:id="1">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hyperlink r:id="rId2">
        <w:r w:rsidDel="00000000" w:rsidR="00000000" w:rsidRPr="00000000">
          <w:rPr>
            <w:rFonts w:ascii="Times New Roman" w:cs="Times New Roman" w:eastAsia="Times New Roman" w:hAnsi="Times New Roman"/>
            <w:b w:val="0"/>
            <w:i w:val="0"/>
            <w:smallCaps w:val="0"/>
            <w:strike w:val="0"/>
            <w:color w:val="275096"/>
            <w:sz w:val="20"/>
            <w:szCs w:val="20"/>
            <w:u w:val="single"/>
            <w:shd w:fill="auto" w:val="clear"/>
            <w:vertAlign w:val="baseline"/>
            <w:rtl w:val="0"/>
          </w:rPr>
          <w:t xml:space="preserve">https://rito.riigikogu.ee/wordpress/wp-content/uploads/2011/06/Millist-kohaliku-omavalitsuse-rahastamise-s%C3%BCsteemi-n%C3%B5uab-p%C3%B5hiseadus-Tim-Kolk.pdf</w:t>
        </w:r>
      </w:hyperlink>
      <w:r w:rsidDel="00000000" w:rsidR="00000000" w:rsidRPr="00000000">
        <w:fldChar w:fldCharType="begin"/>
        <w:instrText xml:space="preserve"> HYPERLINK "https://rito.riigikogu.ee/wordpress/wp-content/uploads/2011/06/Millist-kohaliku-omavalitsuse-rahastamise-s%25C3%25BCsteemi-n%25C3%25B5uab-p%25C3%25B5hiseadus-Tim-Kolk.pdf" </w:instrText>
        <w:fldChar w:fldCharType="separate"/>
      </w:r>
      <w:r w:rsidDel="00000000" w:rsidR="00000000" w:rsidRPr="00000000">
        <w:rPr>
          <w:rtl w:val="0"/>
        </w:rPr>
      </w:r>
    </w:p>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fldChar w:fldCharType="end"/>
      </w:r>
      <w:r w:rsidDel="00000000" w:rsidR="00000000" w:rsidRPr="00000000">
        <w:rPr>
          <w:rtl w:val="0"/>
        </w:rPr>
      </w:r>
    </w:p>
  </w:footnote>
  <w:footnote w:id="2">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See on Euroopa Nõukogu Regionaalse Omavalitsuse Harta eelnõu definitsioonist tulenev käsitlus, mille seletused ja argumentatsioon on avatud vaheraporti järgnevates osades. </w:t>
      </w:r>
      <w:r w:rsidDel="00000000" w:rsidR="00000000" w:rsidRPr="00000000">
        <w:rPr>
          <w:rtl w:val="0"/>
        </w:rPr>
      </w:r>
    </w:p>
  </w:footnote>
  <w:footnote w:id="3">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Sulev Mäeltsemees (1999). Regionaalne omavalitsus. Eesti Vabariigi Riigikantselei, Eesti Haldusjuhtimise Instituut. Kohaliku omavalitsuse teatmik IV. Valla- ja linnasekretärile. Lk. 10-32</w:t>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ootnote>
  <w:footnote w:id="4">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Euroopa Nõukogu Regionaalse Demokraatia Lähteraamistiku projektist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tabs>
        <w:tab w:val="right" w:pos="9046"/>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b w:val="0"/>
        <w:i w:val="0"/>
        <w:smallCaps w:val="0"/>
        <w:strike w:val="0"/>
        <w:shd w:fill="auto" w:val="clear"/>
        <w:vertAlign w:val="baseline"/>
      </w:rPr>
    </w:lvl>
    <w:lvl w:ilvl="1">
      <w:start w:val="1"/>
      <w:numFmt w:val="bullet"/>
      <w:lvlText w:val="o"/>
      <w:lvlJc w:val="left"/>
      <w:pPr>
        <w:ind w:left="1440" w:hanging="360"/>
      </w:pPr>
      <w:rPr>
        <w:rFonts w:ascii="Arimo" w:cs="Arimo" w:eastAsia="Arimo" w:hAnsi="Arimo"/>
        <w:b w:val="0"/>
        <w:i w:val="0"/>
        <w:smallCaps w:val="0"/>
        <w:strike w:val="0"/>
        <w:shd w:fill="auto" w:val="clear"/>
        <w:vertAlign w:val="baseline"/>
      </w:rPr>
    </w:lvl>
    <w:lvl w:ilvl="2">
      <w:start w:val="1"/>
      <w:numFmt w:val="bullet"/>
      <w:lvlText w:val="▪"/>
      <w:lvlJc w:val="left"/>
      <w:pPr>
        <w:ind w:left="2160" w:hanging="360"/>
      </w:pPr>
      <w:rPr>
        <w:rFonts w:ascii="Arimo" w:cs="Arimo" w:eastAsia="Arimo" w:hAnsi="Arimo"/>
        <w:b w:val="0"/>
        <w:i w:val="0"/>
        <w:smallCaps w:val="0"/>
        <w:strike w:val="0"/>
        <w:shd w:fill="auto" w:val="clear"/>
        <w:vertAlign w:val="baseline"/>
      </w:rPr>
    </w:lvl>
    <w:lvl w:ilvl="3">
      <w:start w:val="1"/>
      <w:numFmt w:val="bullet"/>
      <w:lvlText w:val="●"/>
      <w:lvlJc w:val="left"/>
      <w:pPr>
        <w:ind w:left="2880" w:hanging="360"/>
      </w:pPr>
      <w:rPr>
        <w:rFonts w:ascii="Noto Sans Symbols" w:cs="Noto Sans Symbols" w:eastAsia="Noto Sans Symbols" w:hAnsi="Noto Sans Symbols"/>
        <w:b w:val="0"/>
        <w:i w:val="0"/>
        <w:smallCaps w:val="0"/>
        <w:strike w:val="0"/>
        <w:shd w:fill="auto" w:val="clear"/>
        <w:vertAlign w:val="baseline"/>
      </w:rPr>
    </w:lvl>
    <w:lvl w:ilvl="4">
      <w:start w:val="1"/>
      <w:numFmt w:val="bullet"/>
      <w:lvlText w:val="o"/>
      <w:lvlJc w:val="left"/>
      <w:pPr>
        <w:ind w:left="3600" w:hanging="360"/>
      </w:pPr>
      <w:rPr>
        <w:rFonts w:ascii="Arimo" w:cs="Arimo" w:eastAsia="Arimo" w:hAnsi="Arimo"/>
        <w:b w:val="0"/>
        <w:i w:val="0"/>
        <w:smallCaps w:val="0"/>
        <w:strike w:val="0"/>
        <w:shd w:fill="auto" w:val="clear"/>
        <w:vertAlign w:val="baseline"/>
      </w:rPr>
    </w:lvl>
    <w:lvl w:ilvl="5">
      <w:start w:val="1"/>
      <w:numFmt w:val="bullet"/>
      <w:lvlText w:val="▪"/>
      <w:lvlJc w:val="left"/>
      <w:pPr>
        <w:ind w:left="4320" w:hanging="360"/>
      </w:pPr>
      <w:rPr>
        <w:rFonts w:ascii="Arimo" w:cs="Arimo" w:eastAsia="Arimo" w:hAnsi="Arimo"/>
        <w:b w:val="0"/>
        <w:i w:val="0"/>
        <w:smallCaps w:val="0"/>
        <w:strike w:val="0"/>
        <w:shd w:fill="auto" w:val="clear"/>
        <w:vertAlign w:val="baseline"/>
      </w:rPr>
    </w:lvl>
    <w:lvl w:ilvl="6">
      <w:start w:val="1"/>
      <w:numFmt w:val="bullet"/>
      <w:lvlText w:val="●"/>
      <w:lvlJc w:val="left"/>
      <w:pPr>
        <w:ind w:left="5040" w:hanging="360"/>
      </w:pPr>
      <w:rPr>
        <w:rFonts w:ascii="Noto Sans Symbols" w:cs="Noto Sans Symbols" w:eastAsia="Noto Sans Symbols" w:hAnsi="Noto Sans Symbols"/>
        <w:b w:val="0"/>
        <w:i w:val="0"/>
        <w:smallCaps w:val="0"/>
        <w:strike w:val="0"/>
        <w:shd w:fill="auto" w:val="clear"/>
        <w:vertAlign w:val="baseline"/>
      </w:rPr>
    </w:lvl>
    <w:lvl w:ilvl="7">
      <w:start w:val="1"/>
      <w:numFmt w:val="bullet"/>
      <w:lvlText w:val="o"/>
      <w:lvlJc w:val="left"/>
      <w:pPr>
        <w:ind w:left="5760" w:hanging="360"/>
      </w:pPr>
      <w:rPr>
        <w:rFonts w:ascii="Arimo" w:cs="Arimo" w:eastAsia="Arimo" w:hAnsi="Arimo"/>
        <w:b w:val="0"/>
        <w:i w:val="0"/>
        <w:smallCaps w:val="0"/>
        <w:strike w:val="0"/>
        <w:shd w:fill="auto" w:val="clear"/>
        <w:vertAlign w:val="baseline"/>
      </w:rPr>
    </w:lvl>
    <w:lvl w:ilvl="8">
      <w:start w:val="1"/>
      <w:numFmt w:val="bullet"/>
      <w:lvlText w:val="▪"/>
      <w:lvlJc w:val="left"/>
      <w:pPr>
        <w:ind w:left="6480" w:hanging="360"/>
      </w:pPr>
      <w:rPr>
        <w:rFonts w:ascii="Arimo" w:cs="Arimo" w:eastAsia="Arimo" w:hAnsi="Arimo"/>
        <w:b w:val="0"/>
        <w:i w:val="0"/>
        <w:smallCaps w:val="0"/>
        <w:strike w:val="0"/>
        <w:shd w:fill="auto" w:val="clear"/>
        <w:vertAlign w:val="baseli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both"/>
    </w:pPr>
    <w:rPr>
      <w:rFonts w:ascii="Calibri" w:cs="Calibri" w:eastAsia="Calibri" w:hAnsi="Calibri"/>
      <w:b w:val="0"/>
      <w:i w:val="0"/>
      <w:smallCaps w:val="0"/>
      <w:strike w:val="0"/>
      <w:color w:val="2e74b5"/>
      <w:sz w:val="32"/>
      <w:szCs w:val="32"/>
      <w:u w:val="none"/>
      <w:shd w:fill="auto" w:val="clear"/>
      <w:vertAlign w:val="baseline"/>
    </w:rPr>
  </w:style>
  <w:style w:type="paragraph" w:styleId="Heading2">
    <w:name w:val="heading 2"/>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0"/>
      <w:smallCaps w:val="0"/>
      <w:strike w:val="0"/>
      <w:color w:val="2e74b5"/>
      <w:sz w:val="26"/>
      <w:szCs w:val="26"/>
      <w:u w:val="none"/>
      <w:shd w:fill="auto" w:val="clear"/>
      <w:vertAlign w:val="baseline"/>
    </w:rPr>
  </w:style>
  <w:style w:type="paragraph" w:styleId="Heading3">
    <w:name w:val="heading 3"/>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0"/>
      <w:smallCaps w:val="0"/>
      <w:strike w:val="0"/>
      <w:color w:val="1f4d78"/>
      <w:sz w:val="24"/>
      <w:szCs w:val="24"/>
      <w:u w:val="none"/>
      <w:shd w:fill="auto" w:val="clear"/>
      <w:vertAlign w:val="baseline"/>
    </w:rPr>
  </w:style>
  <w:style w:type="paragraph" w:styleId="Heading4">
    <w:name w:val="heading 4"/>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1"/>
      <w:smallCaps w:val="0"/>
      <w:strike w:val="0"/>
      <w:color w:val="2e74b5"/>
      <w:sz w:val="24"/>
      <w:szCs w:val="24"/>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both"/>
    </w:pPr>
    <w:rPr>
      <w:rFonts w:ascii="Calibri" w:cs="Calibri" w:eastAsia="Calibri" w:hAnsi="Calibri"/>
      <w:b w:val="0"/>
      <w:i w:val="0"/>
      <w:smallCaps w:val="0"/>
      <w:strike w:val="0"/>
      <w:color w:val="2e74b5"/>
      <w:sz w:val="32"/>
      <w:szCs w:val="32"/>
      <w:u w:val="none"/>
      <w:shd w:fill="auto" w:val="clear"/>
      <w:vertAlign w:val="baseline"/>
    </w:rPr>
  </w:style>
  <w:style w:type="paragraph" w:styleId="Heading2">
    <w:name w:val="heading 2"/>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0"/>
      <w:smallCaps w:val="0"/>
      <w:strike w:val="0"/>
      <w:color w:val="2e74b5"/>
      <w:sz w:val="26"/>
      <w:szCs w:val="26"/>
      <w:u w:val="none"/>
      <w:shd w:fill="auto" w:val="clear"/>
      <w:vertAlign w:val="baseline"/>
    </w:rPr>
  </w:style>
  <w:style w:type="paragraph" w:styleId="Heading3">
    <w:name w:val="heading 3"/>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0"/>
      <w:smallCaps w:val="0"/>
      <w:strike w:val="0"/>
      <w:color w:val="1f4d78"/>
      <w:sz w:val="24"/>
      <w:szCs w:val="24"/>
      <w:u w:val="none"/>
      <w:shd w:fill="auto" w:val="clear"/>
      <w:vertAlign w:val="baseline"/>
    </w:rPr>
  </w:style>
  <w:style w:type="paragraph" w:styleId="Heading4">
    <w:name w:val="heading 4"/>
    <w:basedOn w:val="Normal"/>
    <w:next w:val="Normal"/>
    <w:pPr>
      <w:keepNext w:val="1"/>
      <w:keepLines w:val="1"/>
      <w:widowControl w:val="1"/>
      <w:pBdr>
        <w:top w:space="0" w:sz="0" w:val="nil"/>
        <w:left w:space="0" w:sz="0" w:val="nil"/>
        <w:bottom w:space="0" w:sz="0" w:val="nil"/>
        <w:right w:space="0" w:sz="0" w:val="nil"/>
        <w:between w:space="0" w:sz="0" w:val="nil"/>
      </w:pBdr>
      <w:shd w:fill="auto" w:val="clear"/>
      <w:spacing w:after="0" w:before="40" w:line="259" w:lineRule="auto"/>
      <w:ind w:left="0" w:right="0" w:firstLine="0"/>
      <w:jc w:val="both"/>
    </w:pPr>
    <w:rPr>
      <w:rFonts w:ascii="Calibri" w:cs="Calibri" w:eastAsia="Calibri" w:hAnsi="Calibri"/>
      <w:b w:val="0"/>
      <w:i w:val="1"/>
      <w:smallCaps w:val="0"/>
      <w:strike w:val="0"/>
      <w:color w:val="2e74b5"/>
      <w:sz w:val="24"/>
      <w:szCs w:val="24"/>
      <w:u w:val="none"/>
      <w:shd w:fill="auto" w:val="clear"/>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4.png"/><Relationship Id="rId13" Type="http://schemas.openxmlformats.org/officeDocument/2006/relationships/header" Target="header2.xm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s://www.riigikohus.ee/et/lahendid?asjaNr=3-4-1-8-09" TargetMode="External"/><Relationship Id="rId2" Type="http://schemas.openxmlformats.org/officeDocument/2006/relationships/hyperlink" Target="https://rito.riigikogu.ee/wordpress/wp-content/uploads/2011/06/Millist-kohaliku-omavalitsuse-rahastamise-s%25C3%25BCsteemi-n%25C3%25B5uab-p%25C3%25B5hiseadus-Tim-Kolk.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eFxVM3Db6umeiKCLdto0mq4dGHQ==">AMUW2mWKlA5W1fmML1Hf1vud5Sw4AoC30GE665kA6u5QrGRinX+FCHKRG8n4ZNM5yY2IVwEKZ7wAmMDG2nMTN96Sv3e+BhVcPDo7qGOP54VG6hng8YYZS/LkePkbYd5gurUSrzaAkUyNVEeyZ/PN5FjTF7767f6SXY0g2X5od7D4QxkMHmq/yYxjJnwCXFmK8bwEfvvinlsR9/Tj8Qt7HXvSYbiTUar8wRegpzp1CacScnAaoPmdfbU=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