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ind w:left="0" w:firstLine="0"/>
        <w:rPr>
          <w:rFonts w:ascii="Calibri" w:cs="Calibri" w:eastAsia="Calibri" w:hAnsi="Calibri"/>
          <w:b w:val="1"/>
          <w:color w:val="2e75b5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  <w:rtl w:val="0"/>
        </w:rPr>
        <w:t xml:space="preserve">6    Koostöö kohustuslikkus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hindamise koondtulemused</w:t>
      </w:r>
    </w:p>
    <w:tbl>
      <w:tblPr>
        <w:tblStyle w:val="Table1"/>
        <w:tblW w:w="7900.0" w:type="dxa"/>
        <w:jc w:val="left"/>
        <w:tblInd w:w="0.0" w:type="dxa"/>
        <w:tblLayout w:type="fixed"/>
        <w:tblLook w:val="0400"/>
      </w:tblPr>
      <w:tblGrid>
        <w:gridCol w:w="4080"/>
        <w:gridCol w:w="1180"/>
        <w:gridCol w:w="1260"/>
        <w:gridCol w:w="1380"/>
        <w:tblGridChange w:id="0">
          <w:tblGrid>
            <w:gridCol w:w="4080"/>
            <w:gridCol w:w="1180"/>
            <w:gridCol w:w="1260"/>
            <w:gridCol w:w="1380"/>
          </w:tblGrid>
        </w:tblGridChange>
      </w:tblGrid>
      <w:tr>
        <w:trPr>
          <w:trHeight w:val="10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Valikud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positiivne mõju (n= 13)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negatiivne mõju (n= 13)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Kindlasti mitte teostatav (n= 13)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A.       Vabatahtlik koostöö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23%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A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31%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20%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B.        Kohustuslik koostöö ehk sundkoostöö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77%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8%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C.        Tingimuslikult kohustuslik koostöö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46%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8%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7%</w:t>
            </w:r>
          </w:p>
        </w:tc>
      </w:tr>
    </w:tbl>
    <w:p w:rsidR="00000000" w:rsidDel="00000000" w:rsidP="00000000" w:rsidRDefault="00000000" w:rsidRPr="00000000" w14:paraId="0000001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Kirjaliku eksperthindamise alusel 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eelistatud lahenduseks valik B - kohustuslik koostöö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Selles nähakse positiivset mõju juhtorganite otsustusvõimele. Olulisi teostatavuse probleeme ei nähta – lahendus on ekspertide hinnangul tingimuste täitmisel teostatav. Vabatahtliku koostöömudeli rakendamisel on oluline negatiivne mõju regionaalse tasandi juhtimisorganite otsustusvõimele.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olete nõus, et kohustusliku koostöö põhimõtte rakendamine suurendaks regionaalse tasandi otsustusvõimet ning selle läbi ka regioonide arenguvõimekust? Miks? </w:t>
      </w:r>
    </w:p>
    <w:p w:rsidR="00000000" w:rsidDel="00000000" w:rsidP="00000000" w:rsidRDefault="00000000" w:rsidRPr="00000000" w14:paraId="0000001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Kui ei, siis milline oleks sobivam lahendus ja miks?</w:t>
      </w:r>
    </w:p>
    <w:p w:rsidR="00000000" w:rsidDel="00000000" w:rsidP="00000000" w:rsidRDefault="00000000" w:rsidRPr="00000000" w14:paraId="0000001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Oluliste KOV ja riigi ühiste regionaalsete ülesannetena, mida tuleks täita 4 suurregioonis, nähakse valdkondi nagu regionaalne ruumiplaneerimine, ühistransport, gümnaasiumi- ja kutseharidus. Kohustusliku koostöö ja osaluse põhimõtte rakendamine nende ja ka teiste ülesannete täitmisel regionaalsel tasandil peaks loogiliselt sisaldama ka finantseerimise kohustust.</w:t>
      </w:r>
    </w:p>
    <w:p w:rsidR="00000000" w:rsidDel="00000000" w:rsidP="00000000" w:rsidRDefault="00000000" w:rsidRPr="00000000" w14:paraId="0000001D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olete nõus, et kohustuslikkuse põhimõtte rakendamine, sh kohustuslik vajaduspõhine finantseerimine,  tagaks nende valdkondade arengu ja teenuste osutamise parimal võimalikul moel – suurima positiivse mõjuga regioonide arengule? Miks? </w:t>
      </w:r>
    </w:p>
    <w:p w:rsidR="00000000" w:rsidDel="00000000" w:rsidP="00000000" w:rsidRDefault="00000000" w:rsidRPr="00000000" w14:paraId="0000001E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Kui ei, siis milline oleks sobivam lahendus ja miks?</w:t>
      </w:r>
    </w:p>
    <w:p w:rsidR="00000000" w:rsidDel="00000000" w:rsidP="00000000" w:rsidRDefault="00000000" w:rsidRPr="00000000" w14:paraId="0000001F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Koostöö vajadus säilib ka olemuslikult KOV ülesannete ühisel täitmisel maakondlikul tasandil.</w:t>
      </w:r>
    </w:p>
    <w:p w:rsidR="00000000" w:rsidDel="00000000" w:rsidP="00000000" w:rsidRDefault="00000000" w:rsidRPr="00000000" w14:paraId="00000021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Millised võiksid olla need KOV ülesanded, kus koostöö maakondlikul tasandil peaks olema kohustuslik?</w:t>
      </w:r>
    </w:p>
    <w:p w:rsidR="00000000" w:rsidDel="00000000" w:rsidP="00000000" w:rsidRDefault="00000000" w:rsidRPr="00000000" w14:paraId="0000002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LISA. Valikute mõjud regionaalhalduse erinevatele aspektidele</w:t>
      </w:r>
    </w:p>
    <w:tbl>
      <w:tblPr>
        <w:tblStyle w:val="Table2"/>
        <w:tblW w:w="7980.0" w:type="dxa"/>
        <w:jc w:val="left"/>
        <w:tblInd w:w="0.0" w:type="dxa"/>
        <w:tblLayout w:type="fixed"/>
        <w:tblLook w:val="0400"/>
      </w:tblPr>
      <w:tblGrid>
        <w:gridCol w:w="2780"/>
        <w:gridCol w:w="960"/>
        <w:gridCol w:w="2320"/>
        <w:gridCol w:w="960"/>
        <w:gridCol w:w="960"/>
        <w:tblGridChange w:id="0">
          <w:tblGrid>
            <w:gridCol w:w="2780"/>
            <w:gridCol w:w="960"/>
            <w:gridCol w:w="2320"/>
            <w:gridCol w:w="960"/>
            <w:gridCol w:w="960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A.       Vabatahtlik koostöö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</w:tcPr>
          <w:p w:rsidR="00000000" w:rsidDel="00000000" w:rsidP="00000000" w:rsidRDefault="00000000" w:rsidRPr="00000000" w14:paraId="0000002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</w:tcPr>
          <w:p w:rsidR="00000000" w:rsidDel="00000000" w:rsidP="00000000" w:rsidRDefault="00000000" w:rsidRPr="00000000" w14:paraId="00000031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</w:tcPr>
          <w:p w:rsidR="00000000" w:rsidDel="00000000" w:rsidP="00000000" w:rsidRDefault="00000000" w:rsidRPr="00000000" w14:paraId="0000003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35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37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B.        Kohustuslik koostöö ehk sundkoostöö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</w:tcPr>
          <w:p w:rsidR="00000000" w:rsidDel="00000000" w:rsidP="00000000" w:rsidRDefault="00000000" w:rsidRPr="00000000" w14:paraId="0000004A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88%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</w:tcPr>
          <w:p w:rsidR="00000000" w:rsidDel="00000000" w:rsidP="00000000" w:rsidRDefault="00000000" w:rsidRPr="00000000" w14:paraId="0000004C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4E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0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C.        Tingimuslikult kohustuslik koostöö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positiivne mõju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9bc2e6" w:space="0" w:sz="4" w:val="single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sz w:val="18"/>
                <w:szCs w:val="18"/>
                <w:rtl w:val="0"/>
              </w:rPr>
              <w:t xml:space="preserve">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Oluline negatiivne mõju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4. demokraatia ja subsidiaarsus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</w:tcPr>
          <w:p w:rsidR="00000000" w:rsidDel="00000000" w:rsidP="00000000" w:rsidRDefault="00000000" w:rsidRPr="00000000" w14:paraId="0000005E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696b" w:val="clear"/>
          </w:tcPr>
          <w:p w:rsidR="00000000" w:rsidDel="00000000" w:rsidP="00000000" w:rsidRDefault="00000000" w:rsidRPr="00000000" w14:paraId="00000060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20%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5. juhtimisorganite otsustusvõime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63be7b" w:val="clear"/>
          </w:tcPr>
          <w:p w:rsidR="00000000" w:rsidDel="00000000" w:rsidP="00000000" w:rsidRDefault="00000000" w:rsidRPr="00000000" w14:paraId="00000063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63%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cfcff" w:val="clear"/>
          </w:tcPr>
          <w:p w:rsidR="00000000" w:rsidDel="00000000" w:rsidP="00000000" w:rsidRDefault="00000000" w:rsidRPr="00000000" w14:paraId="00000065">
            <w:pPr>
              <w:spacing w:line="240" w:lineRule="auto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0%</w:t>
            </w:r>
          </w:p>
        </w:tc>
      </w:tr>
      <w:tr>
        <w:trPr>
          <w:trHeight w:val="240" w:hRule="atLeast"/>
        </w:trPr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Kokku</w:t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67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bc2e6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debf7" w:val="clear"/>
          </w:tcPr>
          <w:p w:rsidR="00000000" w:rsidDel="00000000" w:rsidP="00000000" w:rsidRDefault="00000000" w:rsidRPr="00000000" w14:paraId="00000069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spacing w:line="240" w:lineRule="auto"/>
              <w:jc w:val="right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Np0BfdjlOyj3nWYlK7Wp5YGZ8w==">AMUW2mXWtaqhslywKoFGWLkh3wiFLWEqLrwn0Bf81kOG1IATj0Rpr22M39FYmueG/szGW9YlT+G4z1x1SVu604S5OE75/587W4MpSSgEsRUWADSm+QCjqd1NfgQPSx0JDFRRP7DnarbY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