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ind w:left="0" w:firstLine="0"/>
        <w:rPr>
          <w:rFonts w:ascii="Calibri" w:cs="Calibri" w:eastAsia="Calibri" w:hAnsi="Calibri"/>
          <w:b w:val="1"/>
          <w:color w:val="2e75b5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2e75b5"/>
          <w:sz w:val="22"/>
          <w:szCs w:val="2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2e75b5"/>
          <w:sz w:val="22"/>
          <w:szCs w:val="22"/>
          <w:rtl w:val="0"/>
        </w:rPr>
        <w:t xml:space="preserve">7    Otsuste vastu võtmise mehhanism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Kirjaliku hindamise koondtulemused</w:t>
      </w:r>
    </w:p>
    <w:tbl>
      <w:tblPr>
        <w:tblStyle w:val="Table1"/>
        <w:tblW w:w="8660.0" w:type="dxa"/>
        <w:jc w:val="left"/>
        <w:tblInd w:w="0.0" w:type="dxa"/>
        <w:tblLayout w:type="fixed"/>
        <w:tblLook w:val="0400"/>
      </w:tblPr>
      <w:tblGrid>
        <w:gridCol w:w="4380"/>
        <w:gridCol w:w="1680"/>
        <w:gridCol w:w="1340"/>
        <w:gridCol w:w="1260"/>
        <w:tblGridChange w:id="0">
          <w:tblGrid>
            <w:gridCol w:w="4380"/>
            <w:gridCol w:w="1680"/>
            <w:gridCol w:w="1340"/>
            <w:gridCol w:w="1260"/>
          </w:tblGrid>
        </w:tblGridChange>
      </w:tblGrid>
      <w:tr>
        <w:trPr>
          <w:trHeight w:val="10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Valikud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Oluline positiivne mõju (n=4)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Oluline negatiivne mõju  (n=4)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debf7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Kindlasti mitte teostatav  (n=5)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A.       Igal koostööpartneril on 1 hääl ning otsused võetakse vastu lihthäälteenamusega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25%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0A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25%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20%</w:t>
            </w:r>
          </w:p>
        </w:tc>
      </w:tr>
      <w:tr>
        <w:trPr>
          <w:trHeight w:val="341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B.        Igal koostööpartneril on 1 hääl ning otsused võetakse vastu kvalifitseeritud häälteenamusega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25%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0E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25%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20%</w:t>
            </w:r>
          </w:p>
        </w:tc>
      </w:tr>
      <w:tr>
        <w:trPr>
          <w:trHeight w:val="9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C.        Häälte arv on proportsionaalne territoriaalse üksuse, mida organisatsioon esindab, elanike arvuga ning otsused võetakse vastu lihthäälteenamusega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0%</w:t>
            </w:r>
          </w:p>
        </w:tc>
      </w:tr>
      <w:tr>
        <w:trPr>
          <w:trHeight w:val="1269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D.       Igal koostööpartneril on vähemalt 1 hääl ning territoriaalsete üksuste osas määratakse lisanduvate häälte jaotus osaliselt elanike arvu proportsiooni alusel, otsused võetakse vastu lihthäälteenamusega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efce" w:val="clear"/>
          </w:tcPr>
          <w:p w:rsidR="00000000" w:rsidDel="00000000" w:rsidP="00000000" w:rsidRDefault="00000000" w:rsidRPr="00000000" w14:paraId="00000015">
            <w:pPr>
              <w:spacing w:line="240" w:lineRule="auto"/>
              <w:jc w:val="right"/>
              <w:rPr>
                <w:rFonts w:ascii="Calibri" w:cs="Calibri" w:eastAsia="Calibri" w:hAnsi="Calibri"/>
                <w:color w:val="0061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6100"/>
                <w:sz w:val="20"/>
                <w:szCs w:val="20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0%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E.        Otsused võetakse vastu konsensuslikult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line="240" w:lineRule="auto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25%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1A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50%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c7ce" w:val="clear"/>
          </w:tcPr>
          <w:p w:rsidR="00000000" w:rsidDel="00000000" w:rsidP="00000000" w:rsidRDefault="00000000" w:rsidRPr="00000000" w14:paraId="0000001B">
            <w:pPr>
              <w:spacing w:line="240" w:lineRule="auto"/>
              <w:jc w:val="right"/>
              <w:rPr>
                <w:rFonts w:ascii="Calibri" w:cs="Calibri" w:eastAsia="Calibri" w:hAnsi="Calibri"/>
                <w:color w:val="9c0006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9c0006"/>
                <w:sz w:val="20"/>
                <w:szCs w:val="20"/>
                <w:rtl w:val="0"/>
              </w:rPr>
              <w:t xml:space="preserve">60%</w:t>
            </w:r>
          </w:p>
        </w:tc>
      </w:tr>
    </w:tbl>
    <w:p w:rsidR="00000000" w:rsidDel="00000000" w:rsidP="00000000" w:rsidRDefault="00000000" w:rsidRPr="00000000" w14:paraId="0000001C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Kirjaliku eksperthindamise alusel on eelistatud lahenduseks mehhanism, kus üks hääl kõigil osalistel, ning lisaks annab elanike arvu suurus KOV üksustele täiendavalt hääli juurde, otsused võetakse vastu häälteenamusega.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numPr>
          <w:ilvl w:val="1"/>
          <w:numId w:val="1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Kas olete nõus sellise mudeliga KOV üksuste omavahelise maakondliku koostöö korral, mis eksperthinnangute ja meie ettepaneku alusel võiks tulevikus olla kohustuslik? Miks? </w:t>
      </w:r>
    </w:p>
    <w:p w:rsidR="00000000" w:rsidDel="00000000" w:rsidP="00000000" w:rsidRDefault="00000000" w:rsidRPr="00000000" w14:paraId="00000020">
      <w:pPr>
        <w:pStyle w:val="Heading2"/>
        <w:numPr>
          <w:ilvl w:val="1"/>
          <w:numId w:val="1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Kui ei, siis milline oleks sobivam lahendus ja miks?</w:t>
      </w:r>
    </w:p>
    <w:p w:rsidR="00000000" w:rsidDel="00000000" w:rsidP="00000000" w:rsidRDefault="00000000" w:rsidRPr="00000000" w14:paraId="00000021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Eeldades, et olemuslikult regionaalsete ülesannete (nt regionaalse ruumiplaneerimise, ühistranspordi,  kutse- ja gümnaasiumihariduse) täitmine toimub regionaalses otsustuskogus (esialgse ettepanekuga regionaalses avalik-õiguslikus isikus), kuhu on kaasatud riigi asjakohased valdkondlikud ministeeriumid ning KOV esindajad, siis...</w:t>
      </w:r>
    </w:p>
    <w:p w:rsidR="00000000" w:rsidDel="00000000" w:rsidP="00000000" w:rsidRDefault="00000000" w:rsidRPr="00000000" w14:paraId="00000023">
      <w:pPr>
        <w:pStyle w:val="Heading2"/>
        <w:numPr>
          <w:ilvl w:val="1"/>
          <w:numId w:val="1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Milline peaks olema regioonide arenguvõimet kõige paremini toetav häälte jaotus riigi ja KOV vahel?</w:t>
      </w:r>
    </w:p>
    <w:p w:rsidR="00000000" w:rsidDel="00000000" w:rsidP="00000000" w:rsidRDefault="00000000" w:rsidRPr="00000000" w14:paraId="00000024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numPr>
          <w:ilvl w:val="1"/>
          <w:numId w:val="1"/>
        </w:numPr>
        <w:spacing w:after="0" w:before="40" w:line="259" w:lineRule="auto"/>
        <w:ind w:left="576" w:hanging="576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Kas ja millises ulatuses oleks mõeldav erasektori osalistele hääleõiguse andmine regionaalses otsustuskogus? Kas nende üksnes nõuandva häälega osalus oleks jätkusuutlik lahendus?</w:t>
      </w:r>
    </w:p>
    <w:p w:rsidR="00000000" w:rsidDel="00000000" w:rsidP="00000000" w:rsidRDefault="00000000" w:rsidRPr="00000000" w14:paraId="0000002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eOh5f0bbVCX8uJRqaKrMRXy2NA==">AMUW2mWbcqrxxkCxbWZ7ISM4USWDK5oA/tz8+cSz0ER6KXMf9knijQXdiYzyaiykUNiRFX4Hea37hDp45aEI1WnL0hE7N/s5gPGVEEN1i70dJR7hRNCbi5Y=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