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Otsuste vastuvõtmise mehhanism otsustuskogus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Hindamise objektid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Hindamise objektid määratakse kahe dimensiooni – a) häälte arvu määravad tegurid ning b) otsuste vastuvõtmiseks vajaliku häälte jaotuse – kombineerimisel. Hindamise esialgseks objektiks on 5 tõenäolisimat ja põhimõttelisemalt eristuvat kombinatsiooni: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0" w:right="0" w:hanging="71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Igal koostööpartneril (organisatsioonil) on 1 hääl ning otsused võetakse vastu lihthäälteenamusega;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0" w:right="0" w:hanging="71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Igal koostööpartneril (organisatsioonil) on 1 hääl ning otsused võetakse vastu kvalifitseeritud (näiteks 2/3) häälteenamusega;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0" w:right="0" w:hanging="71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Häälte arv on proportsionaalne territoriaalse üksuse, mida organisatsioon esindab, elanike arvuga ning otsused võetakse vastu lihthäälteenamusega;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0" w:right="0" w:hanging="71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Igal koostööpartneril (organisatsioonil) on vähemalt 1 hääl ning territoriaalsete üksuste osas määratakse lisanduvate häälte jaotus osaliselt elanike arvu proportsiooni alusel, otsused võetakse vastu lihthäälteenamusega;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70" w:right="0" w:hanging="71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Otsused võetakse vastu konsensuslikult.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Juhul kui Teie hinnangul on veel täiendavaid valikuvõimalusi otsuste vastuvõtmise mehhanismi  osas, siis kirjeldage palun alljärgnevalt kõige olulisemat neist lühidalt ning hinnake seda koos teistega kui alternatiivi F.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Alternatiiv F lühikirjeldus: ...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/>
      </w:pPr>
      <w:r w:rsidDel="00000000" w:rsidR="00000000" w:rsidRPr="00000000">
        <w:rPr>
          <w:rtl w:val="0"/>
        </w:rPr>
        <w:t xml:space="preserve">Hindamisküsimused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Eesti õigusruumi raamistikku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(põhiseadus, KOKS, KOLS, jt. asjakohased seadused)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selle realistlikke muutmisvõimalusi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võttes seejuures arvesse oluliste poliitiliste erakondade seisukohti?</w:t>
      </w:r>
    </w:p>
    <w:tbl>
      <w:tblPr>
        <w:tblStyle w:val="Table1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riigi keskvõimu valitsemispraktikat ja –kultuuri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(sh. rahulolu ametiasutuste regionaalsete üksuste toimimisega -täidetavad ülesanded, otsustuspädevus, territoriaalne tegevuspiirkond)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lähtudes ministeeriumite arusaamadest ja seisukohtadest haldusala heast regionaalsest ja kohalikust valitsemisest?</w:t>
      </w:r>
    </w:p>
    <w:tbl>
      <w:tblPr>
        <w:tblStyle w:val="Table2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 ja kuivõrd on alternatiivsed valikud teostatavad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arvestades kohalike ja regionaalsete huvirühmade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(KOV ja regionaalne avalik sektor, kogukonnaliidrid ja kodanikuühendused, ettevõtjad)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huve, soove ja valmisolekut muutusteks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3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134"/>
        <w:gridCol w:w="992"/>
        <w:gridCol w:w="3118"/>
        <w:tblGridChange w:id="0">
          <w:tblGrid>
            <w:gridCol w:w="2830"/>
            <w:gridCol w:w="993"/>
            <w:gridCol w:w="1134"/>
            <w:gridCol w:w="992"/>
            <w:gridCol w:w="3118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teostatav 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Teatud tingimustel teostatav 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Kindlasti mitte teostatav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tingimusi)</w:t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valitsemise demokraatlikkusele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(eelkõige esindusdemokraatiale, kuid ka laiemalt elanikkonna kaasatusele valitsemisesse) ja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subsidiaarsusprintsiibi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(see tähendab, et ülesandeid täidetakse madalaimal võimalikul ja majanduslikult mõistlikul territoriaalsel tasandil)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järgimisele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avalike ülesannete täitmisel?</w:t>
      </w:r>
    </w:p>
    <w:tbl>
      <w:tblPr>
        <w:tblStyle w:val="Table4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8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regionaalsete valitsemis- ja/või juhtimisorganite otsustusvõimele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otsustusprotsesside selgusele?</w:t>
      </w:r>
    </w:p>
    <w:tbl>
      <w:tblPr>
        <w:tblStyle w:val="Table5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AE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haldussuutlikkusele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- võimele täita avalikke ülesandeid ja seejuures järgida kvaliteedikriteeriume, tagada halduslik professionaalsus ja spetsialiseeritus, meeskonnatöö toimimine?</w:t>
      </w:r>
    </w:p>
    <w:tbl>
      <w:tblPr>
        <w:tblStyle w:val="Table6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D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Eesti avaliku sektori toimimise ökonoomsusele ja kuluefektiivsusele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7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FE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1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Eesti regionaalsele arengule,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regioonide võimele kavandada, rahastada ja ellu viia sotsiaal-majanduslikke arendustegevusi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</w:t>
      </w:r>
    </w:p>
    <w:tbl>
      <w:tblPr>
        <w:tblStyle w:val="Table8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26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Milline on alternatiivide elluviimise eeldatav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mõju elanikkonna piirkondlikule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(kohalikule ja regionaalsele)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identiteedile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ja Eesti ühiskonna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territoriaal-kogukondlikule sidususele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tbl>
      <w:tblPr>
        <w:tblStyle w:val="Table9"/>
        <w:tblW w:w="90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993"/>
        <w:gridCol w:w="1559"/>
        <w:gridCol w:w="992"/>
        <w:gridCol w:w="2693"/>
        <w:tblGridChange w:id="0">
          <w:tblGrid>
            <w:gridCol w:w="2830"/>
            <w:gridCol w:w="993"/>
            <w:gridCol w:w="1559"/>
            <w:gridCol w:w="992"/>
            <w:gridCol w:w="2693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14E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Alternatiivid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mõju </w:t>
            </w:r>
          </w:p>
          <w:p w:rsidR="00000000" w:rsidDel="00000000" w:rsidP="00000000" w:rsidRDefault="00000000" w:rsidRPr="00000000" w14:paraId="000001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puudub (võib esineda vähest positiivset või negatiivset mõju)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Oluline negatiivne mõju </w:t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Põhjendage ja selgitage lühidalt oma hinnangut (sh. täpsustage vajadusel mõju iseloomu)</w:t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1 hääl ning otsused võetakse vastu kvalifitseeritud häälteenamusega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Häälte arv on proportsionaalne territoriaalse üksuse, mida organisatsioon esindab, elanike arvuga ning otsused võetakse vastu lihthäälteenamusega</w:t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Igal koostööpartneril on vähemalt 1 hääl ning territoriaalsete üksuste osas määratakse lisanduvate häälte jaotus osaliselt elanike arvu proportsiooni alusel, otsused võetakse vastu lihthäälteenamusega 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Otsused võetakse vastu konsensuslikult </w:t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457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jc w:val="left"/>
        <w:rPr>
          <w:rFonts w:ascii="Calibri" w:cs="Calibri" w:eastAsia="Calibri" w:hAnsi="Calibri"/>
          <w:color w:val="2e75b5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1070" w:hanging="71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432" w:hanging="432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864" w:hanging="864"/>
    </w:pPr>
    <w:rPr>
      <w:rFonts w:ascii="Calibri" w:cs="Calibri" w:eastAsia="Calibri" w:hAnsi="Calibri"/>
      <w:i w:val="1"/>
      <w:color w:val="2e75b5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34E5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 w:val="1"/>
    <w:rsid w:val="00B4262F"/>
    <w:pPr>
      <w:keepNext w:val="1"/>
      <w:keepLines w:val="1"/>
      <w:spacing w:after="0" w:before="240"/>
      <w:ind w:left="432" w:hanging="432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82625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8358D"/>
    <w:pPr>
      <w:keepNext w:val="1"/>
      <w:keepLines w:val="1"/>
      <w:spacing w:after="0" w:before="40"/>
      <w:ind w:left="720" w:hanging="72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CC340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1549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C3406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C3406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C3406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4262F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782625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8358D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CC3406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1f4d78" w:themeColor="accent1" w:themeShade="00007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C3406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C3406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paragraph" w:styleId="ListParagraph">
    <w:name w:val="List Paragraph"/>
    <w:basedOn w:val="Normal"/>
    <w:uiPriority w:val="34"/>
    <w:qFormat w:val="1"/>
    <w:rsid w:val="00CC3406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542D7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D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D7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D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2D7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2D7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D77"/>
    <w:rPr>
      <w:rFonts w:ascii="Segoe UI" w:cs="Segoe UI" w:hAnsi="Segoe UI"/>
      <w:sz w:val="18"/>
      <w:szCs w:val="1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1549A"/>
    <w:rPr>
      <w:rFonts w:asciiTheme="majorHAnsi" w:cstheme="majorBidi" w:eastAsiaTheme="majorEastAsia" w:hAnsiTheme="majorHAnsi"/>
      <w:color w:val="2e74b5" w:themeColor="accent1" w:themeShade="0000BF"/>
    </w:rPr>
  </w:style>
  <w:style w:type="paragraph" w:styleId="Standard" w:customStyle="1">
    <w:name w:val="Standard"/>
    <w:rsid w:val="00E1549A"/>
    <w:pPr>
      <w:suppressAutoHyphens w:val="1"/>
      <w:autoSpaceDN w:val="0"/>
      <w:spacing w:after="0" w:line="240" w:lineRule="auto"/>
      <w:textAlignment w:val="baseline"/>
    </w:pPr>
    <w:rPr>
      <w:rFonts w:ascii="Liberation Serif" w:cs="Arial" w:eastAsia="NSimSun" w:hAnsi="Liberation Serif"/>
      <w:kern w:val="3"/>
      <w:sz w:val="24"/>
      <w:szCs w:val="24"/>
      <w:lang w:bidi="hi-IN" w:eastAsia="zh-CN"/>
    </w:rPr>
  </w:style>
  <w:style w:type="paragraph" w:styleId="NormalWeb">
    <w:name w:val="Normal (Web)"/>
    <w:basedOn w:val="Normal"/>
    <w:uiPriority w:val="99"/>
    <w:semiHidden w:val="1"/>
    <w:unhideWhenUsed w:val="1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Default" w:customStyle="1">
    <w:name w:val="Default"/>
    <w:rsid w:val="00E1549A"/>
    <w:pPr>
      <w:autoSpaceDE w:val="0"/>
      <w:autoSpaceDN w:val="0"/>
      <w:adjustRightInd w:val="0"/>
      <w:spacing w:after="0" w:line="240" w:lineRule="auto"/>
    </w:pPr>
    <w:rPr>
      <w:rFonts w:ascii="EUAlbertina" w:cs="EUAlbertina" w:hAnsi="EUAlbertina"/>
      <w:color w:val="000000"/>
      <w:sz w:val="24"/>
      <w:szCs w:val="24"/>
    </w:rPr>
  </w:style>
  <w:style w:type="paragraph" w:styleId="paragraph" w:customStyle="1">
    <w:name w:val="paragraph"/>
    <w:basedOn w:val="Normal"/>
    <w:rsid w:val="00E1549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 w:val="1"/>
    <w:rsid w:val="00E1549A"/>
    <w:rPr>
      <w:b w:val="1"/>
      <w:bCs w:val="1"/>
    </w:rPr>
  </w:style>
  <w:style w:type="paragraph" w:styleId="Quote">
    <w:name w:val="Quote"/>
    <w:basedOn w:val="Normal"/>
    <w:next w:val="Normal"/>
    <w:link w:val="QuoteChar"/>
    <w:uiPriority w:val="29"/>
    <w:qFormat w:val="1"/>
    <w:rsid w:val="00C92526"/>
    <w:pPr>
      <w:spacing w:before="200"/>
      <w:ind w:left="864" w:right="95"/>
    </w:pPr>
    <w:rPr>
      <w:i w:val="1"/>
      <w:iCs w:val="1"/>
      <w:color w:val="404040" w:themeColor="text1" w:themeTint="0000BF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rsid w:val="00C92526"/>
    <w:rPr>
      <w:i w:val="1"/>
      <w:iCs w:val="1"/>
      <w:color w:val="404040" w:themeColor="text1" w:themeTint="0000BF"/>
      <w:sz w:val="20"/>
      <w:szCs w:val="20"/>
    </w:rPr>
  </w:style>
  <w:style w:type="paragraph" w:styleId="Normal1" w:customStyle="1">
    <w:name w:val="Normal1"/>
    <w:rsid w:val="00CC7730"/>
    <w:pPr>
      <w:spacing w:after="0" w:line="276" w:lineRule="auto"/>
    </w:pPr>
    <w:rPr>
      <w:rFonts w:ascii="Arial" w:cs="Arial" w:eastAsia="Arial" w:hAnsi="Arial"/>
      <w:lang w:val="en-US"/>
    </w:rPr>
  </w:style>
  <w:style w:type="paragraph" w:styleId="Normaallaad1" w:customStyle="1">
    <w:name w:val="Normaallaad1"/>
    <w:rsid w:val="00CC7730"/>
    <w:pPr>
      <w:spacing w:after="0" w:line="276" w:lineRule="auto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fSJBUxxGND3sINU8l2l5VcegQg==">AMUW2mVje2HOhFSHbs29+0CwhbIyOnp2VBEcQNwZDI3dgiRMuDYNRsIqU2ZlpDrKccadI7KMsDqrR98F+Tnik/DzGqaeLmufPofaDtqsh1oUmpRLUpvXbxxRletJeJAQymm2pTgTL93Q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2020-01-06T06:24:00Z</dcterms:created>
  <dc:creator>Veiko Sepp</dc:creator>
</cp:coreProperties>
</file>