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notes+xml" PartName="/word/footnot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both"/>
        <w:rPr>
          <w:rFonts w:ascii="Trebuchet MS" w:cs="Trebuchet MS" w:eastAsia="Trebuchet MS" w:hAnsi="Trebuchet MS"/>
          <w:color w:val="255fa6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both"/>
        <w:rPr>
          <w:rFonts w:ascii="Trebuchet MS" w:cs="Trebuchet MS" w:eastAsia="Trebuchet MS" w:hAnsi="Trebuchet MS"/>
          <w:color w:val="255fa6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both"/>
        <w:rPr>
          <w:rFonts w:ascii="Trebuchet MS" w:cs="Trebuchet MS" w:eastAsia="Trebuchet MS" w:hAnsi="Trebuchet MS"/>
          <w:color w:val="255fa6"/>
          <w:sz w:val="28"/>
          <w:szCs w:val="28"/>
        </w:rPr>
      </w:pPr>
      <w:r w:rsidDel="00000000" w:rsidR="00000000" w:rsidRPr="00000000">
        <w:rPr>
          <w:rFonts w:ascii="Trebuchet MS" w:cs="Trebuchet MS" w:eastAsia="Trebuchet MS" w:hAnsi="Trebuchet MS"/>
          <w:color w:val="255fa6"/>
          <w:sz w:val="28"/>
          <w:szCs w:val="28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margin">
              <wp:posOffset>4485600</wp:posOffset>
            </wp:positionH>
            <wp:positionV relativeFrom="margin">
              <wp:posOffset>-554399</wp:posOffset>
            </wp:positionV>
            <wp:extent cx="1691648" cy="899461"/>
            <wp:effectExtent b="0" l="0" r="0" t="0"/>
            <wp:wrapSquare wrapText="bothSides" distB="114300" distT="114300" distL="114300" distR="114300"/>
            <wp:docPr id="5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1691648" cy="89946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Trebuchet MS" w:cs="Trebuchet MS" w:eastAsia="Trebuchet MS" w:hAnsi="Trebuchet MS"/>
          <w:color w:val="255fa6"/>
          <w:sz w:val="28"/>
          <w:szCs w:val="28"/>
          <w:rtl w:val="0"/>
        </w:rPr>
        <w:t xml:space="preserve">Lisa. Regionaalse valitsemise mudelite teoreetiline perspektiiv Euroopas </w:t>
      </w:r>
    </w:p>
    <w:p w:rsidR="00000000" w:rsidDel="00000000" w:rsidP="00000000" w:rsidRDefault="00000000" w:rsidRPr="00000000" w14:paraId="00000004">
      <w:pPr>
        <w:spacing w:after="12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12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Regionaalse valitsemise mudelite ülevaate sisuline struktuur, mis vajab veel põhjalikumalt lahtiseletamist. </w:t>
      </w:r>
    </w:p>
    <w:p w:rsidR="00000000" w:rsidDel="00000000" w:rsidP="00000000" w:rsidRDefault="00000000" w:rsidRPr="00000000" w14:paraId="00000006">
      <w:pPr>
        <w:spacing w:after="12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after="120" w:lineRule="auto"/>
        <w:jc w:val="both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Valitsemistasandite mõte </w:t>
      </w:r>
    </w:p>
    <w:p w:rsidR="00000000" w:rsidDel="00000000" w:rsidP="00000000" w:rsidRDefault="00000000" w:rsidRPr="00000000" w14:paraId="00000008">
      <w:pPr>
        <w:spacing w:after="120" w:lineRule="auto"/>
        <w:jc w:val="both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after="12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Kohalik munitsipaalne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– vahetu elukeskkond, lihtsus, kvalifikatsioon vs. lähedus, kodanikukesksus, vahetu osalus.</w:t>
      </w:r>
    </w:p>
    <w:p w:rsidR="00000000" w:rsidDel="00000000" w:rsidP="00000000" w:rsidRDefault="00000000" w:rsidRPr="00000000" w14:paraId="0000000A">
      <w:pPr>
        <w:spacing w:after="12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Maakondlik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(maakond) – kvaliteet ja kõrge kvalifikatsioon, valikud, mastaabiefektid (tööturu võimekus, kvaliteetne vaba aeg, avalik järelevalve /load, testid, nõustamine) –Siiski: NUTS II kui ÜKV sihtmärk (mediaan 1,8 miljonit), NUTS III (2-300 tuhat – mitte); LAU 1 (väike maakond). </w:t>
      </w:r>
    </w:p>
    <w:p w:rsidR="00000000" w:rsidDel="00000000" w:rsidP="00000000" w:rsidRDefault="00000000" w:rsidRPr="00000000" w14:paraId="0000000B">
      <w:pPr>
        <w:spacing w:after="12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Regionaaln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 </w:t>
      </w:r>
    </w:p>
    <w:p w:rsidR="00000000" w:rsidDel="00000000" w:rsidP="00000000" w:rsidRDefault="00000000" w:rsidRPr="00000000" w14:paraId="0000000C">
      <w:pPr>
        <w:spacing w:after="12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(a) riigi poliitika kohandamine  ja poliitika terviklikkuse tagamine riigis: </w:t>
      </w:r>
    </w:p>
    <w:p w:rsidR="00000000" w:rsidDel="00000000" w:rsidP="00000000" w:rsidRDefault="00000000" w:rsidRPr="00000000" w14:paraId="0000000D">
      <w:pPr>
        <w:spacing w:after="120" w:lineRule="auto"/>
        <w:ind w:left="54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Traditsioonilised regioonid –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föderalism – endised ajaloolised riigid: USA, Austria, Saksamaa; kultuurilis-etnilised piirkonnas (Hispaania; Belgia); </w:t>
      </w:r>
    </w:p>
    <w:p w:rsidR="00000000" w:rsidDel="00000000" w:rsidP="00000000" w:rsidRDefault="00000000" w:rsidRPr="00000000" w14:paraId="0000000E">
      <w:pPr>
        <w:spacing w:after="120" w:lineRule="auto"/>
        <w:ind w:left="54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Uued regioonid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 (a) majandus-geograafilised eripärad (Prantsusmaa, alates 1982, kuid oli Oksitaani, Bretagne, Strasbourgi piirkond); </w:t>
      </w:r>
    </w:p>
    <w:p w:rsidR="00000000" w:rsidDel="00000000" w:rsidP="00000000" w:rsidRDefault="00000000" w:rsidRPr="00000000" w14:paraId="0000000F">
      <w:pPr>
        <w:spacing w:after="12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(b)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EL regionaalpoliitika, et piirata keskvõimu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-- s.h. uute liikmesriikide jaoks (k.a. Portugal näide) </w:t>
      </w:r>
    </w:p>
    <w:p w:rsidR="00000000" w:rsidDel="00000000" w:rsidP="00000000" w:rsidRDefault="00000000" w:rsidRPr="00000000" w14:paraId="00000010">
      <w:pPr>
        <w:numPr>
          <w:ilvl w:val="0"/>
          <w:numId w:val="2"/>
        </w:numPr>
        <w:spacing w:after="0" w:before="24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Holland - provincial states and is responsible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for executing national policies at the provincial level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Poola - The governor is responsible for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the implementation of national government policy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in the region.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spacing w:after="36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Italy - executing the administrative functions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delegated by the state to the regions, according to government guideline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s.</w:t>
      </w:r>
    </w:p>
    <w:p w:rsidR="00000000" w:rsidDel="00000000" w:rsidP="00000000" w:rsidRDefault="00000000" w:rsidRPr="00000000" w14:paraId="00000013">
      <w:pPr>
        <w:ind w:left="28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Tabel. Valitsemise tasandite muutmine</w:t>
      </w:r>
    </w:p>
    <w:p w:rsidR="00000000" w:rsidDel="00000000" w:rsidP="00000000" w:rsidRDefault="00000000" w:rsidRPr="00000000" w14:paraId="00000014">
      <w:pPr>
        <w:ind w:left="28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after="12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734050" cy="1346200"/>
            <wp:effectExtent b="0" l="0" r="0" t="0"/>
            <wp:docPr id="3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34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after="120" w:lineRule="auto"/>
        <w:jc w:val="both"/>
        <w:rPr>
          <w:rFonts w:ascii="Times New Roman" w:cs="Times New Roman" w:eastAsia="Times New Roman" w:hAnsi="Times New Roman"/>
          <w:sz w:val="24"/>
          <w:szCs w:val="24"/>
          <w:u w:val="singl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Mis on regioon?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Maakond ja regioon: </w:t>
      </w:r>
    </w:p>
    <w:p w:rsidR="00000000" w:rsidDel="00000000" w:rsidP="00000000" w:rsidRDefault="00000000" w:rsidRPr="00000000" w14:paraId="00000017">
      <w:pPr>
        <w:numPr>
          <w:ilvl w:val="0"/>
          <w:numId w:val="6"/>
        </w:numPr>
        <w:spacing w:after="0" w:before="24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Klassikalised regioonid: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Prantsusmaa (3,9 miljonit), Itaalia (3,0), Hispaania 2,4 milj;  Holland 1,3.  Poola 2,4 mln.;</w:t>
      </w:r>
    </w:p>
    <w:p w:rsidR="00000000" w:rsidDel="00000000" w:rsidP="00000000" w:rsidRDefault="00000000" w:rsidRPr="00000000" w14:paraId="00000018">
      <w:pPr>
        <w:numPr>
          <w:ilvl w:val="0"/>
          <w:numId w:val="6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Väikesed riigid = regioon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 Rootsi 450 tuh. Soome 270.00, Norra 500.000; Taani (1 mln.)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numPr>
          <w:ilvl w:val="0"/>
          <w:numId w:val="6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´Regioon: KIE väikeriikides vaid 3: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Tsehhi – 700.000 (ajaloolised), Slovaki 600.000, Läti (500 Ilma Riia piirkonnata ca. 250 tuh)</w:t>
      </w:r>
    </w:p>
    <w:p w:rsidR="00000000" w:rsidDel="00000000" w:rsidP="00000000" w:rsidRDefault="00000000" w:rsidRPr="00000000" w14:paraId="0000001A">
      <w:pPr>
        <w:numPr>
          <w:ilvl w:val="0"/>
          <w:numId w:val="6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Maakonnad (KIE riikides)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 Ungari, Rumeenia, kuid pole regioone; Poola (on regioonid), kuid maakonnad väikesed (Ungari - 0,1 tuhat, Rumeenia 0,460 tuhat)</w:t>
      </w:r>
    </w:p>
    <w:p w:rsidR="00000000" w:rsidDel="00000000" w:rsidP="00000000" w:rsidRDefault="00000000" w:rsidRPr="00000000" w14:paraId="0000001B">
      <w:pPr>
        <w:numPr>
          <w:ilvl w:val="0"/>
          <w:numId w:val="6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Maakonnad klassikas: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Kreis 200 tuh (401), vs. (295) 285 tuh; Prantsusmaal 660 tuh</w:t>
      </w:r>
    </w:p>
    <w:p w:rsidR="00000000" w:rsidDel="00000000" w:rsidP="00000000" w:rsidRDefault="00000000" w:rsidRPr="00000000" w14:paraId="0000001C">
      <w:pPr>
        <w:numPr>
          <w:ilvl w:val="0"/>
          <w:numId w:val="6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Maakonnad on languses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- Hispaania, Itaalia, Kreeka, Ungari </w:t>
      </w:r>
    </w:p>
    <w:p w:rsidR="00000000" w:rsidDel="00000000" w:rsidP="00000000" w:rsidRDefault="00000000" w:rsidRPr="00000000" w14:paraId="0000001D">
      <w:pPr>
        <w:numPr>
          <w:ilvl w:val="0"/>
          <w:numId w:val="6"/>
        </w:numPr>
        <w:spacing w:after="36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Maakondi ei ole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 Austria, Portugal, Holland, Taani, Rootsi, Norra, Soome; KIE Eesti, Leedu, Küpros (0,8 mln), Sloveenia, Slovaki, Tshehhi, Leedu, Serbia (2 rahvuslikku piirkonda)</w:t>
      </w:r>
    </w:p>
    <w:p w:rsidR="00000000" w:rsidDel="00000000" w:rsidP="00000000" w:rsidRDefault="00000000" w:rsidRPr="00000000" w14:paraId="0000001E">
      <w:pPr>
        <w:spacing w:after="12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Regiooni poliitiline ja administratiivne autonoomia</w:t>
      </w:r>
    </w:p>
    <w:p w:rsidR="00000000" w:rsidDel="00000000" w:rsidP="00000000" w:rsidRDefault="00000000" w:rsidRPr="00000000" w14:paraId="0000001F">
      <w:pPr>
        <w:numPr>
          <w:ilvl w:val="0"/>
          <w:numId w:val="4"/>
        </w:numPr>
        <w:spacing w:after="0" w:before="24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itte niivõrd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funktsioonide jaotus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kuivõrd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võimumehhanismid tasandite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vahel: kes ja kuidas kujundavad otsuseid?</w:t>
      </w:r>
    </w:p>
    <w:p w:rsidR="00000000" w:rsidDel="00000000" w:rsidP="00000000" w:rsidRDefault="00000000" w:rsidRPr="00000000" w14:paraId="00000020">
      <w:pPr>
        <w:numPr>
          <w:ilvl w:val="0"/>
          <w:numId w:val="4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S.t. kuidas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kohalik võim suudab osaleda keskvõimu otsustes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? See peaks olema ka riigi regionaalpoliitika võtmeküsimus?</w:t>
      </w:r>
    </w:p>
    <w:p w:rsidR="00000000" w:rsidDel="00000000" w:rsidP="00000000" w:rsidRDefault="00000000" w:rsidRPr="00000000" w14:paraId="00000021">
      <w:pPr>
        <w:numPr>
          <w:ilvl w:val="0"/>
          <w:numId w:val="4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volikogu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on vaid üks tunnus, oluline on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autonoomia teised aspektid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numPr>
          <w:ilvl w:val="0"/>
          <w:numId w:val="4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föderaaalriigid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(Saksamaa – palju väga erinevad praktikad liidumaades)</w:t>
      </w:r>
    </w:p>
    <w:p w:rsidR="00000000" w:rsidDel="00000000" w:rsidP="00000000" w:rsidRDefault="00000000" w:rsidRPr="00000000" w14:paraId="00000023">
      <w:pPr>
        <w:numPr>
          <w:ilvl w:val="0"/>
          <w:numId w:val="4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ametlik missioon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 riigi poliitikate kohandamine</w:t>
      </w:r>
    </w:p>
    <w:p w:rsidR="00000000" w:rsidDel="00000000" w:rsidP="00000000" w:rsidRDefault="00000000" w:rsidRPr="00000000" w14:paraId="00000024">
      <w:pPr>
        <w:numPr>
          <w:ilvl w:val="0"/>
          <w:numId w:val="4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funktsioonide (ülesannete arv)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vs.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regulatsioonide jäikus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(nt. hariduses – õppekava ja sisu); </w:t>
      </w:r>
    </w:p>
    <w:p w:rsidR="00000000" w:rsidDel="00000000" w:rsidP="00000000" w:rsidRDefault="00000000" w:rsidRPr="00000000" w14:paraId="00000025">
      <w:pPr>
        <w:numPr>
          <w:ilvl w:val="0"/>
          <w:numId w:val="4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poliitiline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immuniteet vs. initsiatiivi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võimalused (Clark-LAI). Eesti probleem initsiatiiviga (kohaliku ressursi mobiliseerimine). </w:t>
      </w:r>
    </w:p>
    <w:p w:rsidR="00000000" w:rsidDel="00000000" w:rsidP="00000000" w:rsidRDefault="00000000" w:rsidRPr="00000000" w14:paraId="00000026">
      <w:pPr>
        <w:numPr>
          <w:ilvl w:val="0"/>
          <w:numId w:val="4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maakonna (regiooni) volikogud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kuid (a) on ka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riigi kohahaldus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(k.a. katusorganisatsioonid, sinna kulub ka prefekt Prantsusmaal)) ja (b) jagamiseelarve; (c) ametnike töö reglementeeritus (admin. sekkumine); (d) prefekti koordineeriv roll (eriti regioonis)</w:t>
      </w:r>
    </w:p>
    <w:p w:rsidR="00000000" w:rsidDel="00000000" w:rsidP="00000000" w:rsidRDefault="00000000" w:rsidRPr="00000000" w14:paraId="00000027">
      <w:pPr>
        <w:numPr>
          <w:ilvl w:val="0"/>
          <w:numId w:val="4"/>
        </w:numPr>
        <w:spacing w:after="36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õiguslik puutumatus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(immuniteet), versus --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kohalik mõju keskvalitsuse otsustele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8">
      <w:pPr>
        <w:spacing w:after="160" w:line="259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Empiirilise analüüsi järeldused, trendid ja sisendid hüpoteesideks: vanades EL liikmesriikides</w:t>
      </w:r>
    </w:p>
    <w:p w:rsidR="00000000" w:rsidDel="00000000" w:rsidP="00000000" w:rsidRDefault="00000000" w:rsidRPr="00000000" w14:paraId="00000029">
      <w:pPr>
        <w:numPr>
          <w:ilvl w:val="0"/>
          <w:numId w:val="1"/>
        </w:numPr>
        <w:spacing w:after="160" w:line="259" w:lineRule="auto"/>
        <w:ind w:left="720" w:hanging="360"/>
        <w:jc w:val="both"/>
        <w:rPr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reeglina on küll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regionaalne volikogu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; täitev-võim on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keskvõimu käepikendus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(rakendab riigi poliitikaid, ametnikkond) ja sõltub täielikult selle rahast, v.a. föderaalriik Saksamaa;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numPr>
          <w:ilvl w:val="0"/>
          <w:numId w:val="1"/>
        </w:numPr>
        <w:spacing w:after="160" w:line="259" w:lineRule="auto"/>
        <w:ind w:left="720" w:hanging="360"/>
        <w:jc w:val="both"/>
        <w:rPr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suur osa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regionaalsetest funktsioonides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riigi omad  (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prefektid ja kohaldus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), ka Iirimaa.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numPr>
          <w:ilvl w:val="0"/>
          <w:numId w:val="1"/>
        </w:numPr>
        <w:spacing w:after="160" w:line="259" w:lineRule="auto"/>
        <w:ind w:left="720" w:hanging="360"/>
        <w:jc w:val="both"/>
        <w:rPr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Maakonnad, kas puuduvad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(Austria, Portugal, Holland) või kadumise äärel (Kreeka, Itaalia, Hispaania), Saksamaa kujundab Ida-aladel regionaalseid kreise (Põhjamaade tee);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numPr>
          <w:ilvl w:val="0"/>
          <w:numId w:val="1"/>
        </w:numPr>
        <w:spacing w:after="160" w:line="259" w:lineRule="auto"/>
        <w:ind w:left="720" w:hanging="360"/>
        <w:jc w:val="both"/>
        <w:rPr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regionaalpoliitika (sisu) väga erinevad instrumendid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after="160" w:line="259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Vanade liikmesriikide suundumised üldiselt:</w:t>
      </w:r>
    </w:p>
    <w:p w:rsidR="00000000" w:rsidDel="00000000" w:rsidP="00000000" w:rsidRDefault="00000000" w:rsidRPr="00000000" w14:paraId="0000002E">
      <w:pPr>
        <w:spacing w:after="160" w:line="259" w:lineRule="auto"/>
        <w:ind w:left="7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a) selge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administratiivne hierarhia ja regionaalne volikoguga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valitsemistasand </w:t>
      </w:r>
    </w:p>
    <w:p w:rsidR="00000000" w:rsidDel="00000000" w:rsidP="00000000" w:rsidRDefault="00000000" w:rsidRPr="00000000" w14:paraId="0000002F">
      <w:pPr>
        <w:spacing w:after="160" w:line="259" w:lineRule="auto"/>
        <w:ind w:left="720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(b)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konsensuslik suhe kesk- ja kohaliku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võimu vahel (Põhjamaad, Holland, Austria, ja Iirimaa) v.a. Soome (kuid katsetab regionaalse omavalitsusega). </w:t>
      </w:r>
    </w:p>
    <w:p w:rsidR="00000000" w:rsidDel="00000000" w:rsidP="00000000" w:rsidRDefault="00000000" w:rsidRPr="00000000" w14:paraId="00000030">
      <w:pPr>
        <w:spacing w:after="160" w:line="259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160" w:line="259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Empiirilise analüüsi järeldused, trendid ja sisendid hüpoteesideks: uutes EL liikmesriikides</w:t>
      </w:r>
    </w:p>
    <w:p w:rsidR="00000000" w:rsidDel="00000000" w:rsidP="00000000" w:rsidRDefault="00000000" w:rsidRPr="00000000" w14:paraId="00000032">
      <w:pPr>
        <w:numPr>
          <w:ilvl w:val="0"/>
          <w:numId w:val="7"/>
        </w:numPr>
        <w:spacing w:line="259" w:lineRule="auto"/>
        <w:ind w:left="720" w:hanging="360"/>
        <w:jc w:val="both"/>
        <w:rPr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väi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keriikide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 ei ole vahetasandeid, kusjuures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EL takistas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nende loomist (Sootla, Kattai 2018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</w:rPr>
        <w:footnoteReference w:customMarkFollows="0" w:id="0"/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);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numPr>
          <w:ilvl w:val="0"/>
          <w:numId w:val="7"/>
        </w:numPr>
        <w:spacing w:line="259" w:lineRule="auto"/>
        <w:ind w:left="720" w:hanging="360"/>
        <w:jc w:val="both"/>
        <w:rPr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on ainult (väikesed)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maakonnad (Ungari, Rumeenia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numPr>
          <w:ilvl w:val="0"/>
          <w:numId w:val="7"/>
        </w:numPr>
        <w:spacing w:line="259" w:lineRule="auto"/>
        <w:ind w:left="720" w:hanging="360"/>
        <w:jc w:val="both"/>
        <w:rPr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klassikalised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väikeriikide regioonid 3-s riigis: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Tshehhi ja Slovakkia jõudsid enne EL ära teha; Poola on suurriik;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numPr>
          <w:ilvl w:val="0"/>
          <w:numId w:val="7"/>
        </w:numPr>
        <w:spacing w:line="259" w:lineRule="auto"/>
        <w:ind w:left="720" w:hanging="360"/>
        <w:jc w:val="both"/>
        <w:rPr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Regioonid on vähemalt 0,5 mln. (ka vanades liikmesriikides), s.h. Lätis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numPr>
          <w:ilvl w:val="0"/>
          <w:numId w:val="7"/>
        </w:numPr>
        <w:spacing w:line="259" w:lineRule="auto"/>
        <w:ind w:left="720" w:hanging="360"/>
        <w:jc w:val="both"/>
        <w:rPr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Horvaatias (detsentraliseerimisrefom) ja Rumeenias on ümbernimetamine regiooniks (Saarts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vertAlign w:val="superscript"/>
        </w:rPr>
        <w:footnoteReference w:customMarkFollows="0" w:id="1"/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after="160" w:line="259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after="160" w:line="259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KOV koostöö õiguslikud mudelid </w:t>
      </w:r>
    </w:p>
    <w:p w:rsidR="00000000" w:rsidDel="00000000" w:rsidP="00000000" w:rsidRDefault="00000000" w:rsidRPr="00000000" w14:paraId="00000039">
      <w:pPr>
        <w:spacing w:after="160" w:line="259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0" distT="0" distL="0" distR="0">
            <wp:extent cx="5207000" cy="3429435"/>
            <wp:effectExtent b="0" l="0" r="0" t="0"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07000" cy="34294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after="160" w:line="259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Allikas: OECD, 2019, Making decentralisation at work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spacing w:after="12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spacing w:after="12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Järeldused Eesti kohta</w:t>
      </w:r>
    </w:p>
    <w:p w:rsidR="00000000" w:rsidDel="00000000" w:rsidP="00000000" w:rsidRDefault="00000000" w:rsidRPr="00000000" w14:paraId="0000003D">
      <w:pPr>
        <w:numPr>
          <w:ilvl w:val="0"/>
          <w:numId w:val="3"/>
        </w:numPr>
        <w:spacing w:after="0" w:before="24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kuna piirkondlikul/ regionaalsel tasandl on väga nõrk mõju keskvalitsuse poliitikale, siis konsensusliku mudeli erijoon (regionaalse filtri puudumine) Eestile ei sobi; poliitika silotornistub ja see võib olla pöördumatu;</w:t>
      </w:r>
    </w:p>
    <w:p w:rsidR="00000000" w:rsidDel="00000000" w:rsidP="00000000" w:rsidRDefault="00000000" w:rsidRPr="00000000" w14:paraId="0000003E">
      <w:pPr>
        <w:numPr>
          <w:ilvl w:val="0"/>
          <w:numId w:val="3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Eesti valik on rohkem Mandri-Euroopa suunas - riigi poliitika kohandamine, täiendamine regionaalsel tasandil;</w:t>
      </w:r>
    </w:p>
    <w:p w:rsidR="00000000" w:rsidDel="00000000" w:rsidP="00000000" w:rsidRDefault="00000000" w:rsidRPr="00000000" w14:paraId="0000003F">
      <w:pPr>
        <w:numPr>
          <w:ilvl w:val="0"/>
          <w:numId w:val="3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Lähirääkide kogemused hajaasustatud riikides, kus regioon on ca. 0,3-0,5 mln inimest. </w:t>
      </w:r>
    </w:p>
    <w:p w:rsidR="00000000" w:rsidDel="00000000" w:rsidP="00000000" w:rsidRDefault="00000000" w:rsidRPr="00000000" w14:paraId="00000040">
      <w:pPr>
        <w:numPr>
          <w:ilvl w:val="0"/>
          <w:numId w:val="3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Eesti regioonide küsimus on ka:</w:t>
      </w:r>
    </w:p>
    <w:p w:rsidR="00000000" w:rsidDel="00000000" w:rsidP="00000000" w:rsidRDefault="00000000" w:rsidRPr="00000000" w14:paraId="00000041">
      <w:pPr>
        <w:numPr>
          <w:ilvl w:val="1"/>
          <w:numId w:val="3"/>
        </w:numPr>
        <w:spacing w:after="0" w:before="0" w:lineRule="auto"/>
        <w:ind w:left="144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(a) EL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regionaalpoliitikas osalemisest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(täna väga nõrk roll, LAI) </w:t>
      </w:r>
    </w:p>
    <w:p w:rsidR="00000000" w:rsidDel="00000000" w:rsidP="00000000" w:rsidRDefault="00000000" w:rsidRPr="00000000" w14:paraId="00000042">
      <w:pPr>
        <w:numPr>
          <w:ilvl w:val="1"/>
          <w:numId w:val="3"/>
        </w:numPr>
        <w:spacing w:after="0" w:before="0" w:lineRule="auto"/>
        <w:ind w:left="144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(b) seotud eelnevaga,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partnerluse võimalustest keskvalitsusega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(Eestis on olnud Tallinn ja isegi Tartu pole tegija);</w:t>
      </w:r>
    </w:p>
    <w:p w:rsidR="00000000" w:rsidDel="00000000" w:rsidP="00000000" w:rsidRDefault="00000000" w:rsidRPr="00000000" w14:paraId="00000043">
      <w:pPr>
        <w:numPr>
          <w:ilvl w:val="0"/>
          <w:numId w:val="3"/>
        </w:numPr>
        <w:spacing w:after="36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KOV liidud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saavad anda regionaalseid sisendeid siis, kui volikogu esindajad pole konkreetsete omavalitsuste delegaadid, vaid neid on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regionaalse otsustamise mandaat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(regionaalne koalitsioon ehk regionaalse valimistulemuse peegeldus);</w:t>
      </w:r>
    </w:p>
    <w:p w:rsidR="00000000" w:rsidDel="00000000" w:rsidP="00000000" w:rsidRDefault="00000000" w:rsidRPr="00000000" w14:paraId="00000044">
      <w:pPr>
        <w:spacing w:after="12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after="12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Regionaalse valitsemise mudelid </w:t>
      </w:r>
    </w:p>
    <w:p w:rsidR="00000000" w:rsidDel="00000000" w:rsidP="00000000" w:rsidRDefault="00000000" w:rsidRPr="00000000" w14:paraId="00000046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1. Regionaalne tasand puudub, on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regionaalstrateegia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(KIEd)</w:t>
      </w:r>
    </w:p>
    <w:p w:rsidR="00000000" w:rsidDel="00000000" w:rsidP="00000000" w:rsidRDefault="00000000" w:rsidRPr="00000000" w14:paraId="00000047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 Regionaalne kehand kui keskvalitsuse käepinkendus ning volikogu ja täitevkogu (klassika)</w:t>
      </w:r>
    </w:p>
    <w:p w:rsidR="00000000" w:rsidDel="00000000" w:rsidP="00000000" w:rsidRDefault="00000000" w:rsidRPr="00000000" w14:paraId="00000048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3. Valitsuse regionaalsed kohahaldused kui partnerid (Holland – 5 ajaloolist regiooni)</w:t>
      </w:r>
    </w:p>
    <w:p w:rsidR="00000000" w:rsidDel="00000000" w:rsidP="00000000" w:rsidRDefault="00000000" w:rsidRPr="00000000" w14:paraId="00000049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4. Riik (prefektid) ja riigi maavalitsused kui läbirääkimiste partnerid (Rootsi)</w:t>
      </w:r>
    </w:p>
    <w:p w:rsidR="00000000" w:rsidDel="00000000" w:rsidP="00000000" w:rsidRDefault="00000000" w:rsidRPr="00000000" w14:paraId="0000004A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5. II või III tasandi KOV</w:t>
      </w:r>
    </w:p>
    <w:p w:rsidR="00000000" w:rsidDel="00000000" w:rsidP="00000000" w:rsidRDefault="00000000" w:rsidRPr="00000000" w14:paraId="0000004B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6. Planeerimisregioon </w:t>
      </w:r>
    </w:p>
    <w:p w:rsidR="00000000" w:rsidDel="00000000" w:rsidP="00000000" w:rsidRDefault="00000000" w:rsidRPr="00000000" w14:paraId="0000004C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5. Regionaalse mandaadiga esinduskogu KOVidest</w:t>
      </w:r>
    </w:p>
    <w:p w:rsidR="00000000" w:rsidDel="00000000" w:rsidP="00000000" w:rsidRDefault="00000000" w:rsidRPr="00000000" w14:paraId="0000004D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6. KOV klassikaline liit (regiooni mastaapi ca 300 tuh inimest)</w:t>
      </w:r>
    </w:p>
    <w:p w:rsidR="00000000" w:rsidDel="00000000" w:rsidP="00000000" w:rsidRDefault="00000000" w:rsidRPr="00000000" w14:paraId="0000004E">
      <w:pPr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Regionaalse koordineerimise instrumendid</w:t>
      </w:r>
    </w:p>
    <w:p w:rsidR="00000000" w:rsidDel="00000000" w:rsidP="00000000" w:rsidRDefault="00000000" w:rsidRPr="00000000" w14:paraId="00000050">
      <w:pPr>
        <w:numPr>
          <w:ilvl w:val="0"/>
          <w:numId w:val="5"/>
        </w:numPr>
        <w:spacing w:after="0" w:before="24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Regionaalsed toimijate nõukogud (sotsiaal-majanduslikud nõukogud, boards) – regiooni probleemide ja huvide sõelumine (igas teises riigis)</w:t>
      </w:r>
    </w:p>
    <w:p w:rsidR="00000000" w:rsidDel="00000000" w:rsidP="00000000" w:rsidRDefault="00000000" w:rsidRPr="00000000" w14:paraId="00000051">
      <w:pPr>
        <w:numPr>
          <w:ilvl w:val="0"/>
          <w:numId w:val="5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Ruumilise planeerimise konverents (Austria) - sektoraalsed huvid, kohalikud eripärad, ruumiline terviklikkus</w:t>
      </w:r>
    </w:p>
    <w:p w:rsidR="00000000" w:rsidDel="00000000" w:rsidP="00000000" w:rsidRDefault="00000000" w:rsidRPr="00000000" w14:paraId="00000052">
      <w:pPr>
        <w:numPr>
          <w:ilvl w:val="0"/>
          <w:numId w:val="5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Sihtostarbelised regionaalsed meetmed või riiklikud agentuurid (piirialad, tööstusalad)</w:t>
      </w:r>
    </w:p>
    <w:p w:rsidR="00000000" w:rsidDel="00000000" w:rsidP="00000000" w:rsidRDefault="00000000" w:rsidRPr="00000000" w14:paraId="00000053">
      <w:pPr>
        <w:numPr>
          <w:ilvl w:val="0"/>
          <w:numId w:val="5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Valdkonnaministeeriumide regionaalsed strateegiad (nt. tööturuvõimekus KOVides)</w:t>
      </w:r>
    </w:p>
    <w:p w:rsidR="00000000" w:rsidDel="00000000" w:rsidP="00000000" w:rsidRDefault="00000000" w:rsidRPr="00000000" w14:paraId="00000054">
      <w:pPr>
        <w:numPr>
          <w:ilvl w:val="0"/>
          <w:numId w:val="5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Majanduse arengu ja hõivekeskused: nõustamine ja tagasiside toimijatelt</w:t>
      </w:r>
    </w:p>
    <w:p w:rsidR="00000000" w:rsidDel="00000000" w:rsidP="00000000" w:rsidRDefault="00000000" w:rsidRPr="00000000" w14:paraId="00000055">
      <w:pPr>
        <w:numPr>
          <w:ilvl w:val="0"/>
          <w:numId w:val="5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Holland – poliitikate sihid: (a) võimekus tullal toime ebamäärasusega; (b) võimekus oma eripärasid arendada; (c) sisemise ressursi/ toimijate mobiliseerimine </w:t>
      </w:r>
    </w:p>
    <w:p w:rsidR="00000000" w:rsidDel="00000000" w:rsidP="00000000" w:rsidRDefault="00000000" w:rsidRPr="00000000" w14:paraId="00000056">
      <w:pPr>
        <w:numPr>
          <w:ilvl w:val="0"/>
          <w:numId w:val="5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KOVid – võtavad üle riigiasutustelt ühiselt programmide juhtimist</w:t>
      </w:r>
    </w:p>
    <w:p w:rsidR="00000000" w:rsidDel="00000000" w:rsidP="00000000" w:rsidRDefault="00000000" w:rsidRPr="00000000" w14:paraId="00000057">
      <w:pPr>
        <w:numPr>
          <w:ilvl w:val="0"/>
          <w:numId w:val="5"/>
        </w:numPr>
        <w:spacing w:after="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Pilootporjektid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(näidis) ja siis laiendamine</w:t>
      </w:r>
    </w:p>
    <w:p w:rsidR="00000000" w:rsidDel="00000000" w:rsidP="00000000" w:rsidRDefault="00000000" w:rsidRPr="00000000" w14:paraId="00000058">
      <w:pPr>
        <w:numPr>
          <w:ilvl w:val="0"/>
          <w:numId w:val="5"/>
        </w:numPr>
        <w:spacing w:after="240" w:before="0" w:lineRule="auto"/>
        <w:ind w:left="720" w:hanging="36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Regulaarsed konverentsid vms. Regioonide parimate praktikate ja läbikukumiste analüüsiks</w:t>
      </w:r>
    </w:p>
    <w:p w:rsidR="00000000" w:rsidDel="00000000" w:rsidP="00000000" w:rsidRDefault="00000000" w:rsidRPr="00000000" w14:paraId="00000059">
      <w:pPr>
        <w:spacing w:after="240" w:before="240" w:lineRule="auto"/>
        <w:ind w:left="0" w:firstLine="0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11" w:type="default"/>
      <w:pgSz w:h="16834" w:w="11909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rebuchet MS"/>
  <w:font w:name="Times New Roman"/>
  <w:font w:name="Arim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/>
</w:fonts>
</file>

<file path=word/footnotes.xml><?xml version="1.0" encoding="utf-8"?>
<w:footnot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otnote w:id="0">
    <w:p w:rsidR="00000000" w:rsidDel="00000000" w:rsidP="00000000" w:rsidRDefault="00000000" w:rsidRPr="00000000" w14:paraId="0000005B">
      <w:pPr>
        <w:spacing w:line="240" w:lineRule="auto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Style w:val="FootnoteReference"/>
          <w:vertAlign w:val="superscript"/>
        </w:rPr>
        <w:footnoteRef/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Georg Sootla &amp; Kersten Kattai (2018) Institutionalization of subnational governance in Estonia: European impacts and domestic adaptations,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Regional &amp; Federal Studies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, DOI: 10.1080/13597566.2018.1511979</w:t>
      </w:r>
    </w:p>
  </w:footnote>
  <w:footnote w:id="1">
    <w:p w:rsidR="00000000" w:rsidDel="00000000" w:rsidP="00000000" w:rsidRDefault="00000000" w:rsidRPr="00000000" w14:paraId="0000005C">
      <w:pPr>
        <w:spacing w:line="240" w:lineRule="auto"/>
        <w:jc w:val="both"/>
        <w:rPr>
          <w:rFonts w:ascii="Times New Roman" w:cs="Times New Roman" w:eastAsia="Times New Roman" w:hAnsi="Times New Roman"/>
          <w:sz w:val="20"/>
          <w:szCs w:val="20"/>
        </w:rPr>
      </w:pPr>
      <w:r w:rsidDel="00000000" w:rsidR="00000000" w:rsidRPr="00000000">
        <w:rPr>
          <w:rStyle w:val="FootnoteReference"/>
          <w:vertAlign w:val="superscript"/>
        </w:rPr>
        <w:footnoteRef/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 Tõnis Saarts (2019) Introducing regional self-governments in Central and Eastern Europe: Paths to success and failure,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0"/>
          <w:szCs w:val="20"/>
          <w:rtl w:val="0"/>
        </w:rPr>
        <w:t xml:space="preserve">Regional &amp; Federal Studies</w:t>
      </w:r>
      <w:r w:rsidDel="00000000" w:rsidR="00000000" w:rsidRPr="00000000">
        <w:rPr>
          <w:rFonts w:ascii="Times New Roman" w:cs="Times New Roman" w:eastAsia="Times New Roman" w:hAnsi="Times New Roman"/>
          <w:sz w:val="20"/>
          <w:szCs w:val="20"/>
          <w:rtl w:val="0"/>
        </w:rPr>
        <w:t xml:space="preserve">, DOI: 10.1080/13597566.2019.1598383 </w:t>
      </w:r>
    </w:p>
  </w:footnote>
</w:footnote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D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b w:val="0"/>
        <w:i w:val="0"/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Arimo" w:cs="Arimo" w:eastAsia="Arimo" w:hAnsi="Arimo"/>
        <w:b w:val="0"/>
        <w:i w:val="0"/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Arimo" w:cs="Arimo" w:eastAsia="Arimo" w:hAnsi="Arimo"/>
        <w:b w:val="0"/>
        <w:i w:val="0"/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b w:val="0"/>
        <w:i w:val="0"/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Arimo" w:cs="Arimo" w:eastAsia="Arimo" w:hAnsi="Arimo"/>
        <w:b w:val="0"/>
        <w:i w:val="0"/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Arimo" w:cs="Arimo" w:eastAsia="Arimo" w:hAnsi="Arimo"/>
        <w:b w:val="0"/>
        <w:i w:val="0"/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  <w:b w:val="0"/>
        <w:i w:val="0"/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Arimo" w:cs="Arimo" w:eastAsia="Arimo" w:hAnsi="Arimo"/>
        <w:b w:val="0"/>
        <w:i w:val="0"/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Arimo" w:cs="Arimo" w:eastAsia="Arimo" w:hAnsi="Arimo"/>
        <w:b w:val="0"/>
        <w:i w:val="0"/>
        <w:smallCaps w:val="0"/>
        <w:strike w:val="0"/>
        <w:shd w:fill="auto" w:val="clear"/>
        <w:vertAlign w:val="baseli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b w:val="0"/>
        <w:i w:val="0"/>
        <w:smallCaps w:val="0"/>
        <w:strike w:val="0"/>
        <w:shd w:fill="auto" w:val="clear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Arimo" w:cs="Arimo" w:eastAsia="Arimo" w:hAnsi="Arimo"/>
        <w:b w:val="0"/>
        <w:i w:val="0"/>
        <w:smallCaps w:val="0"/>
        <w:strike w:val="0"/>
        <w:shd w:fill="auto" w:val="clear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Arimo" w:cs="Arimo" w:eastAsia="Arimo" w:hAnsi="Arimo"/>
        <w:b w:val="0"/>
        <w:i w:val="0"/>
        <w:smallCaps w:val="0"/>
        <w:strike w:val="0"/>
        <w:shd w:fill="auto" w:val="clear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  <w:b w:val="0"/>
        <w:i w:val="0"/>
        <w:smallCaps w:val="0"/>
        <w:strike w:val="0"/>
        <w:shd w:fill="auto" w:val="clear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Arimo" w:cs="Arimo" w:eastAsia="Arimo" w:hAnsi="Arimo"/>
        <w:b w:val="0"/>
        <w:i w:val="0"/>
        <w:smallCaps w:val="0"/>
        <w:strike w:val="0"/>
        <w:shd w:fill="auto" w:val="clear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Arimo" w:cs="Arimo" w:eastAsia="Arimo" w:hAnsi="Arimo"/>
        <w:b w:val="0"/>
        <w:i w:val="0"/>
        <w:smallCaps w:val="0"/>
        <w:strike w:val="0"/>
        <w:shd w:fill="auto" w:val="clear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  <w:b w:val="0"/>
        <w:i w:val="0"/>
        <w:smallCaps w:val="0"/>
        <w:strike w:val="0"/>
        <w:shd w:fill="auto" w:val="clear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Arimo" w:cs="Arimo" w:eastAsia="Arimo" w:hAnsi="Arimo"/>
        <w:b w:val="0"/>
        <w:i w:val="0"/>
        <w:smallCaps w:val="0"/>
        <w:strike w:val="0"/>
        <w:shd w:fill="auto" w:val="clear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Arimo" w:cs="Arimo" w:eastAsia="Arimo" w:hAnsi="Arimo"/>
        <w:b w:val="0"/>
        <w:i w:val="0"/>
        <w:smallCaps w:val="0"/>
        <w:strike w:val="0"/>
        <w:shd w:fill="auto" w:val="clear"/>
        <w:vertAlign w:val="baseli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t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footnotes" Target="footnotes.xml"/><Relationship Id="rId11" Type="http://schemas.openxmlformats.org/officeDocument/2006/relationships/header" Target="header1.xml"/><Relationship Id="rId10" Type="http://schemas.openxmlformats.org/officeDocument/2006/relationships/image" Target="media/image3.png"/><Relationship Id="rId9" Type="http://schemas.openxmlformats.org/officeDocument/2006/relationships/image" Target="media/image2.jpg"/><Relationship Id="rId5" Type="http://schemas.openxmlformats.org/officeDocument/2006/relationships/numbering" Target="numbering.xml"/><Relationship Id="rId6" Type="http://schemas.openxmlformats.org/officeDocument/2006/relationships/styles" Target="styles.xml"/><Relationship Id="rId7" Type="http://schemas.openxmlformats.org/officeDocument/2006/relationships/customXml" Target="../customXML/item1.xml"/><Relationship Id="rId8" Type="http://schemas.openxmlformats.org/officeDocument/2006/relationships/image" Target="media/image1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mo-regular.ttf"/><Relationship Id="rId2" Type="http://schemas.openxmlformats.org/officeDocument/2006/relationships/font" Target="fonts/Arimo-bold.ttf"/><Relationship Id="rId3" Type="http://schemas.openxmlformats.org/officeDocument/2006/relationships/font" Target="fonts/Arimo-italic.ttf"/><Relationship Id="rId4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dOHgTvOHL+FCTQKGkGiVWehaelA==">AMUW2mUNlYa2R3LOJEiqTgmDj8sYYPO+YI9rXwrkCZpme8RHX8moNcnT3zqjUeea2oTFS19PCUuKTt8aQZ/2hzPI7E3IsJHq6wcsSCvJYm7NeVQAn75lCFM=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