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240" w:line="259" w:lineRule="auto"/>
        <w:ind w:left="0" w:firstLine="0"/>
        <w:rPr>
          <w:rFonts w:ascii="Calibri" w:cs="Calibri" w:eastAsia="Calibri" w:hAnsi="Calibri"/>
          <w:b w:val="1"/>
          <w:color w:val="2e75b5"/>
          <w:sz w:val="22"/>
          <w:szCs w:val="22"/>
        </w:rPr>
      </w:pPr>
      <w:r w:rsidDel="00000000" w:rsidR="00000000" w:rsidRPr="00000000">
        <w:rPr>
          <w:rFonts w:ascii="Calibri" w:cs="Calibri" w:eastAsia="Calibri" w:hAnsi="Calibri"/>
          <w:b w:val="1"/>
          <w:color w:val="2e75b5"/>
          <w:sz w:val="22"/>
          <w:szCs w:val="22"/>
        </w:rPr>
        <w:drawing>
          <wp:anchor allowOverlap="1" behindDoc="0" distB="114300" distT="114300" distL="114300" distR="114300" hidden="0" layoutInCell="1" locked="0" relativeHeight="0" simplePos="0">
            <wp:simplePos x="0" y="0"/>
            <wp:positionH relativeFrom="margin">
              <wp:posOffset>4485600</wp:posOffset>
            </wp:positionH>
            <wp:positionV relativeFrom="margin">
              <wp:posOffset>-554399</wp:posOffset>
            </wp:positionV>
            <wp:extent cx="1691648" cy="89946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1648" cy="899461"/>
                    </a:xfrm>
                    <a:prstGeom prst="rect"/>
                    <a:ln/>
                  </pic:spPr>
                </pic:pic>
              </a:graphicData>
            </a:graphic>
          </wp:anchor>
        </w:drawing>
      </w:r>
      <w:r w:rsidDel="00000000" w:rsidR="00000000" w:rsidRPr="00000000">
        <w:rPr>
          <w:rFonts w:ascii="Calibri" w:cs="Calibri" w:eastAsia="Calibri" w:hAnsi="Calibri"/>
          <w:b w:val="1"/>
          <w:color w:val="2e75b5"/>
          <w:sz w:val="22"/>
          <w:szCs w:val="22"/>
          <w:rtl w:val="0"/>
        </w:rPr>
        <w:t xml:space="preserve">5    Koostöö osalised</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 hindamise koondtulemused</w:t>
      </w:r>
    </w:p>
    <w:tbl>
      <w:tblPr>
        <w:tblStyle w:val="Table1"/>
        <w:tblW w:w="8780.0" w:type="dxa"/>
        <w:jc w:val="left"/>
        <w:tblInd w:w="0.0" w:type="dxa"/>
        <w:tblLayout w:type="fixed"/>
        <w:tblLook w:val="0400"/>
      </w:tblPr>
      <w:tblGrid>
        <w:gridCol w:w="3760"/>
        <w:gridCol w:w="1680"/>
        <w:gridCol w:w="1680"/>
        <w:gridCol w:w="1660"/>
        <w:tblGridChange w:id="0">
          <w:tblGrid>
            <w:gridCol w:w="3760"/>
            <w:gridCol w:w="1680"/>
            <w:gridCol w:w="1680"/>
            <w:gridCol w:w="1660"/>
          </w:tblGrid>
        </w:tblGridChange>
      </w:tblGrid>
      <w:tr>
        <w:trPr>
          <w:trHeight w:val="700" w:hRule="atLeast"/>
        </w:trPr>
        <w:tc>
          <w:tcPr>
            <w:tcBorders>
              <w:top w:color="000000" w:space="0" w:sz="4" w:val="single"/>
              <w:left w:color="000000" w:space="0" w:sz="4" w:val="single"/>
              <w:bottom w:color="000000" w:space="0" w:sz="4" w:val="single"/>
              <w:right w:color="000000" w:space="0" w:sz="4" w:val="single"/>
            </w:tcBorders>
            <w:shd w:fill="ddebf7" w:val="clear"/>
          </w:tcPr>
          <w:p w:rsidR="00000000" w:rsidDel="00000000" w:rsidP="00000000" w:rsidRDefault="00000000" w:rsidRPr="00000000" w14:paraId="00000004">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Valikud</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5">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positiivne mõju (n=29)</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6">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Oluline negatiivne mõju (n=29)</w:t>
            </w:r>
          </w:p>
        </w:tc>
        <w:tc>
          <w:tcPr>
            <w:tcBorders>
              <w:top w:color="000000" w:space="0" w:sz="4" w:val="single"/>
              <w:left w:color="000000" w:space="0" w:sz="0" w:val="nil"/>
              <w:bottom w:color="000000" w:space="0" w:sz="4" w:val="single"/>
              <w:right w:color="000000" w:space="0" w:sz="4" w:val="single"/>
            </w:tcBorders>
            <w:shd w:fill="ddebf7" w:val="clear"/>
          </w:tcPr>
          <w:p w:rsidR="00000000" w:rsidDel="00000000" w:rsidP="00000000" w:rsidRDefault="00000000" w:rsidRPr="00000000" w14:paraId="00000007">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Kindlasti mitte teostatav (n=29)</w:t>
            </w:r>
          </w:p>
        </w:tc>
      </w:tr>
      <w:tr>
        <w:trPr>
          <w:trHeight w:val="52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Koostöökogu koosneb KOV-üksuste esindajatest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9">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38%</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A">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B">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r>
      <w:tr>
        <w:trPr>
          <w:trHeight w:val="63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C">
            <w:pPr>
              <w:spacing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        Koostöökogu koosneb KOV-üksuste ja riigi keskvalitsuse esindajatest</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0D">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55%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0E">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0F">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11%</w:t>
            </w:r>
          </w:p>
        </w:tc>
      </w:tr>
      <w:tr>
        <w:trPr>
          <w:trHeight w:val="63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Koostöökogu koosneb KOV-üksuste ja regionaalsete partnerite esindajatest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1">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2">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3">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17%</w:t>
            </w:r>
          </w:p>
        </w:tc>
      </w:tr>
      <w:tr>
        <w:trPr>
          <w:trHeight w:val="910" w:hRule="atLeast"/>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Koostöökogu koosneb KOV-üksuste, riigi keskvalitsuse ja regionaalsete partnerite esindajatest</w:t>
            </w:r>
          </w:p>
        </w:tc>
        <w:tc>
          <w:tcPr>
            <w:tcBorders>
              <w:top w:color="000000" w:space="0" w:sz="4" w:val="single"/>
              <w:left w:color="000000" w:space="0" w:sz="4" w:val="single"/>
              <w:bottom w:color="000000" w:space="0" w:sz="4" w:val="single"/>
              <w:right w:color="000000" w:space="0" w:sz="4" w:val="single"/>
            </w:tcBorders>
            <w:shd w:fill="c6efce" w:val="clear"/>
          </w:tcPr>
          <w:p w:rsidR="00000000" w:rsidDel="00000000" w:rsidP="00000000" w:rsidRDefault="00000000" w:rsidRPr="00000000" w14:paraId="00000015">
            <w:pPr>
              <w:spacing w:line="240" w:lineRule="auto"/>
              <w:jc w:val="right"/>
              <w:rPr>
                <w:rFonts w:ascii="Calibri" w:cs="Calibri" w:eastAsia="Calibri" w:hAnsi="Calibri"/>
                <w:color w:val="006100"/>
                <w:sz w:val="20"/>
                <w:szCs w:val="20"/>
              </w:rPr>
            </w:pPr>
            <w:r w:rsidDel="00000000" w:rsidR="00000000" w:rsidRPr="00000000">
              <w:rPr>
                <w:rFonts w:ascii="Calibri" w:cs="Calibri" w:eastAsia="Calibri" w:hAnsi="Calibri"/>
                <w:color w:val="006100"/>
                <w:sz w:val="20"/>
                <w:szCs w:val="20"/>
                <w:rtl w:val="0"/>
              </w:rPr>
              <w:t xml:space="preserve">45%</w:t>
            </w:r>
          </w:p>
        </w:tc>
        <w:tc>
          <w:tcPr>
            <w:tcBorders>
              <w:top w:color="000000" w:space="0" w:sz="4" w:val="single"/>
              <w:left w:color="000000" w:space="0" w:sz="4" w:val="single"/>
              <w:bottom w:color="000000" w:space="0" w:sz="4" w:val="single"/>
              <w:right w:color="000000" w:space="0" w:sz="4" w:val="single"/>
            </w:tcBorders>
            <w:shd w:fill="ffc7ce" w:val="clear"/>
          </w:tcPr>
          <w:p w:rsidR="00000000" w:rsidDel="00000000" w:rsidP="00000000" w:rsidRDefault="00000000" w:rsidRPr="00000000" w14:paraId="00000016">
            <w:pPr>
              <w:spacing w:line="240" w:lineRule="auto"/>
              <w:jc w:val="right"/>
              <w:rPr>
                <w:rFonts w:ascii="Calibri" w:cs="Calibri" w:eastAsia="Calibri" w:hAnsi="Calibri"/>
                <w:color w:val="9c0006"/>
                <w:sz w:val="20"/>
                <w:szCs w:val="20"/>
              </w:rPr>
            </w:pPr>
            <w:r w:rsidDel="00000000" w:rsidR="00000000" w:rsidRPr="00000000">
              <w:rPr>
                <w:rFonts w:ascii="Calibri" w:cs="Calibri" w:eastAsia="Calibri" w:hAnsi="Calibri"/>
                <w:color w:val="9c0006"/>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17">
            <w:pPr>
              <w:spacing w:line="240" w:lineRule="auto"/>
              <w:jc w:val="righ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r>
    </w:tbl>
    <w:p w:rsidR="00000000" w:rsidDel="00000000" w:rsidP="00000000" w:rsidRDefault="00000000" w:rsidRPr="00000000" w14:paraId="0000001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Täiendavalt esitatud lahendused:</w:t>
      </w:r>
    </w:p>
    <w:p w:rsidR="00000000" w:rsidDel="00000000" w:rsidP="00000000" w:rsidRDefault="00000000" w:rsidRPr="00000000" w14:paraId="0000001A">
      <w:pPr>
        <w:numPr>
          <w:ilvl w:val="0"/>
          <w:numId w:val="1"/>
        </w:numPr>
        <w:spacing w:line="259" w:lineRule="auto"/>
        <w:ind w:left="720" w:hanging="360"/>
        <w:rPr/>
      </w:pPr>
      <w:r w:rsidDel="00000000" w:rsidR="00000000" w:rsidRPr="00000000">
        <w:rPr>
          <w:rFonts w:ascii="Calibri" w:cs="Calibri" w:eastAsia="Calibri" w:hAnsi="Calibri"/>
          <w:rtl w:val="0"/>
        </w:rPr>
        <w:t xml:space="preserve">Koostöökogu KOV tasandil laiapõhjalise kaasamisega, esindajad nimetavad partnerid (lähedane valikule C)</w:t>
      </w:r>
      <w:r w:rsidDel="00000000" w:rsidR="00000000" w:rsidRPr="00000000">
        <w:rPr>
          <w:rtl w:val="0"/>
        </w:rPr>
      </w:r>
    </w:p>
    <w:p w:rsidR="00000000" w:rsidDel="00000000" w:rsidP="00000000" w:rsidRDefault="00000000" w:rsidRPr="00000000" w14:paraId="0000001B">
      <w:pPr>
        <w:numPr>
          <w:ilvl w:val="0"/>
          <w:numId w:val="1"/>
        </w:numPr>
        <w:spacing w:line="259" w:lineRule="auto"/>
        <w:ind w:left="720" w:hanging="360"/>
        <w:rPr/>
      </w:pPr>
      <w:r w:rsidDel="00000000" w:rsidR="00000000" w:rsidRPr="00000000">
        <w:rPr>
          <w:rFonts w:ascii="Calibri" w:cs="Calibri" w:eastAsia="Calibri" w:hAnsi="Calibri"/>
          <w:rtl w:val="0"/>
        </w:rPr>
        <w:t xml:space="preserve">Koostöökogud vastavalt vajadusele</w:t>
      </w:r>
      <w:r w:rsidDel="00000000" w:rsidR="00000000" w:rsidRPr="00000000">
        <w:rPr>
          <w:rtl w:val="0"/>
        </w:rPr>
      </w:r>
    </w:p>
    <w:p w:rsidR="00000000" w:rsidDel="00000000" w:rsidP="00000000" w:rsidRDefault="00000000" w:rsidRPr="00000000" w14:paraId="0000001C">
      <w:pPr>
        <w:numPr>
          <w:ilvl w:val="0"/>
          <w:numId w:val="1"/>
        </w:numPr>
        <w:spacing w:after="160" w:line="259" w:lineRule="auto"/>
        <w:ind w:left="720" w:hanging="360"/>
        <w:rPr/>
      </w:pPr>
      <w:r w:rsidDel="00000000" w:rsidR="00000000" w:rsidRPr="00000000">
        <w:rPr>
          <w:rFonts w:ascii="Calibri" w:cs="Calibri" w:eastAsia="Calibri" w:hAnsi="Calibri"/>
          <w:rtl w:val="0"/>
        </w:rPr>
        <w:t xml:space="preserve">Regionaalne otsustuskogu puudub.</w:t>
      </w:r>
      <w:r w:rsidDel="00000000" w:rsidR="00000000" w:rsidRPr="00000000">
        <w:rPr>
          <w:rtl w:val="0"/>
        </w:rPr>
      </w:r>
    </w:p>
    <w:p w:rsidR="00000000" w:rsidDel="00000000" w:rsidP="00000000" w:rsidRDefault="00000000" w:rsidRPr="00000000" w14:paraId="0000001D">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Kirjalikul eksperthindamisel leidsid enim toetust lahendused, kus regionaalses koostöös osalevad:</w:t>
      </w:r>
    </w:p>
    <w:p w:rsidR="00000000" w:rsidDel="00000000" w:rsidP="00000000" w:rsidRDefault="00000000" w:rsidRPr="00000000" w14:paraId="0000001F">
      <w:pPr>
        <w:numPr>
          <w:ilvl w:val="0"/>
          <w:numId w:val="3"/>
        </w:numPr>
        <w:spacing w:line="240" w:lineRule="auto"/>
        <w:ind w:left="1080" w:hanging="360"/>
        <w:rPr/>
      </w:pPr>
      <w:r w:rsidDel="00000000" w:rsidR="00000000" w:rsidRPr="00000000">
        <w:rPr>
          <w:rFonts w:ascii="Calibri" w:cs="Calibri" w:eastAsia="Calibri" w:hAnsi="Calibri"/>
          <w:rtl w:val="0"/>
        </w:rPr>
        <w:t xml:space="preserve">Riigi keskvalitsuse ja KOV esindajad (positiivne mõju eeskätt otsustusvõimele ja regioonide arenguvõimele; teostatav) </w:t>
      </w:r>
      <w:r w:rsidDel="00000000" w:rsidR="00000000" w:rsidRPr="00000000">
        <w:rPr>
          <w:rtl w:val="0"/>
        </w:rPr>
      </w:r>
    </w:p>
    <w:p w:rsidR="00000000" w:rsidDel="00000000" w:rsidP="00000000" w:rsidRDefault="00000000" w:rsidRPr="00000000" w14:paraId="00000020">
      <w:pPr>
        <w:numPr>
          <w:ilvl w:val="0"/>
          <w:numId w:val="3"/>
        </w:numPr>
        <w:spacing w:line="240" w:lineRule="auto"/>
        <w:ind w:left="1080" w:hanging="360"/>
        <w:rPr/>
      </w:pPr>
      <w:r w:rsidDel="00000000" w:rsidR="00000000" w:rsidRPr="00000000">
        <w:rPr>
          <w:rFonts w:ascii="Calibri" w:cs="Calibri" w:eastAsia="Calibri" w:hAnsi="Calibri"/>
          <w:rtl w:val="0"/>
        </w:rPr>
        <w:t xml:space="preserve">KOV, riigi ja erasektori esindajad (varieeruv positiivne mõju – oluline positiivne mõju regioonide arenguvõimele, kuid piiratud mõju otsustusvõimele; teostatav) </w:t>
      </w:r>
      <w:r w:rsidDel="00000000" w:rsidR="00000000" w:rsidRPr="00000000">
        <w:rPr>
          <w:rtl w:val="0"/>
        </w:rPr>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after="160" w:line="259" w:lineRule="auto"/>
        <w:rPr>
          <w:rFonts w:ascii="Calibri" w:cs="Calibri" w:eastAsia="Calibri" w:hAnsi="Calibri"/>
          <w:b w:val="1"/>
        </w:rPr>
      </w:pPr>
      <w:r w:rsidDel="00000000" w:rsidR="00000000" w:rsidRPr="00000000">
        <w:rPr>
          <w:rFonts w:ascii="Calibri" w:cs="Calibri" w:eastAsia="Calibri" w:hAnsi="Calibri"/>
          <w:rtl w:val="0"/>
        </w:rPr>
        <w:t xml:space="preserve">Arvestades võimalikke õiguslikke piiranguid erasektori esindajate kaasamiseks avalike ülesannete korralduslike otsuste vastuvõtmisel ning esialgset järeldust regionaalsele tasandile (sh regionaalse ruumiplaneerimise, ühistranspordi ning kutse- ja gümnaasiumihariduse ülesannete täitmiseks) sobiva õigusliku vormi osas - regionaalne avalik-õiguslik isik, mille otsustuskogusse kuuluvad nii riigi (sh erinevate valitsemisvaldkondade ministeeriumite) kui ka KOV esindajad – siis on kirjalikest hindamistulemustest lähtuvalt meie esmane </w:t>
      </w:r>
      <w:r w:rsidDel="00000000" w:rsidR="00000000" w:rsidRPr="00000000">
        <w:rPr>
          <w:rFonts w:ascii="Calibri" w:cs="Calibri" w:eastAsia="Calibri" w:hAnsi="Calibri"/>
          <w:b w:val="1"/>
          <w:rtl w:val="0"/>
        </w:rPr>
        <w:t xml:space="preserve">eelistus valik B (Regionaalne koostöö- ja otsustuskogu koosneb KOV-üksuste ja riigi keskvalitsuse esindajatest).</w:t>
      </w:r>
    </w:p>
    <w:p w:rsidR="00000000" w:rsidDel="00000000" w:rsidP="00000000" w:rsidRDefault="00000000" w:rsidRPr="00000000" w14:paraId="0000002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olete nõus, et regionaalsete ülesannete (nt. regionaalse ruumiplaneerimise, ühistranspordi ning kutse- ja gümnaasiumihariduse ülesannete) täitmiseks on sobivaim lahendus koostöö- ja juhtimisstruktuurid, mis koosneksid riigi ja KOV esindajateks? Miks? </w:t>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sobivam lahendus ja miks?</w:t>
      </w:r>
    </w:p>
    <w:p w:rsidR="00000000" w:rsidDel="00000000" w:rsidP="00000000" w:rsidRDefault="00000000" w:rsidRPr="00000000" w14:paraId="0000002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Regionaalsete koostöö- ja juhtimisorganite teo- ja otsustusvõime huvides oleks, et valdkondlikud ministeeriumid oleksid neis esindatud juhtkonna – kantslerite ja/või asekantslerite – tasandil.</w:t>
      </w:r>
    </w:p>
    <w:p w:rsidR="00000000" w:rsidDel="00000000" w:rsidP="00000000" w:rsidRDefault="00000000" w:rsidRPr="00000000" w14:paraId="00000029">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olete nõus sellise arusaamisega või mitte? Miks?</w:t>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kes peaks riiki esindama regionaalsetes juhtimisstruktuurides, mis on ühised KOV-üksustega?</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Riigi ja KOV ühiste ülesannete (nt regionaalne ruumiplaneerimine, ühistransport, kutse- ja gümnaasiumiharidus) täitmise sobivaimaks territoriaalseks tasandiks on esialgsel hinnangul nn suurregioonid 4 regioonikeskusega. See tähendab, et igasse regiooni jääks 12-30 KOV üksust, kelle kõigi esindajate kaasamine regionaalsesse otsustuskogusse võib muuta otsustusprotsessi töömahukamaks ja keerukamaks kui vaja, kallutada riigi ja KOV esindajate tasakaalu liialt viimaste kasuks. Üheks võimaluseks KOV esindajate arvu piiramiseks oleks KOV üksuste kaudne esindatus regionaalsetes otsustuskogudes – esindajad määravad maakondlikud omavalitsusliidud.</w:t>
      </w:r>
    </w:p>
    <w:p w:rsidR="00000000" w:rsidDel="00000000" w:rsidP="00000000" w:rsidRDefault="00000000" w:rsidRPr="00000000" w14:paraId="0000002E">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Kas selline lahendus oleks sobiv? Miks?</w:t>
      </w:r>
    </w:p>
    <w:p w:rsidR="00000000" w:rsidDel="00000000" w:rsidP="00000000" w:rsidRDefault="00000000" w:rsidRPr="00000000" w14:paraId="0000002F">
      <w:pPr>
        <w:pStyle w:val="Heading2"/>
        <w:numPr>
          <w:ilvl w:val="1"/>
          <w:numId w:val="2"/>
        </w:numPr>
        <w:spacing w:after="0" w:before="40" w:line="259" w:lineRule="auto"/>
        <w:ind w:left="576" w:hanging="576"/>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Kui ei, siis milline oleks sobivam lahendus ja miks?</w:t>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LISA. Valikute mõjud regionaalhalduse erinevatele aspektidele</w:t>
      </w:r>
    </w:p>
    <w:tbl>
      <w:tblPr>
        <w:tblStyle w:val="Table2"/>
        <w:tblW w:w="7480.0" w:type="dxa"/>
        <w:jc w:val="left"/>
        <w:tblInd w:w="0.0" w:type="dxa"/>
        <w:tblLayout w:type="fixed"/>
        <w:tblLook w:val="0400"/>
      </w:tblPr>
      <w:tblGrid>
        <w:gridCol w:w="2780"/>
        <w:gridCol w:w="960"/>
        <w:gridCol w:w="1420"/>
        <w:gridCol w:w="960"/>
        <w:gridCol w:w="1360"/>
        <w:tblGridChange w:id="0">
          <w:tblGrid>
            <w:gridCol w:w="2780"/>
            <w:gridCol w:w="960"/>
            <w:gridCol w:w="1420"/>
            <w:gridCol w:w="960"/>
            <w:gridCol w:w="1360"/>
          </w:tblGrid>
        </w:tblGridChange>
      </w:tblGrid>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       Koostöökogu koosneb KOV-üksuste esindajatest</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3">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4">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35">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36">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3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A">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3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w:t>
            </w:r>
          </w:p>
        </w:tc>
        <w:tc>
          <w:tcPr>
            <w:tcBorders>
              <w:top w:color="000000" w:space="0" w:sz="0" w:val="nil"/>
              <w:left w:color="000000" w:space="0" w:sz="0" w:val="nil"/>
              <w:bottom w:color="000000" w:space="0" w:sz="0" w:val="nil"/>
              <w:right w:color="000000" w:space="0" w:sz="0" w:val="nil"/>
            </w:tcBorders>
            <w:shd w:fill="9ad4aa" w:val="clear"/>
          </w:tcPr>
          <w:p w:rsidR="00000000" w:rsidDel="00000000" w:rsidP="00000000" w:rsidRDefault="00000000" w:rsidRPr="00000000" w14:paraId="0000003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3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fa9799" w:val="clear"/>
          </w:tcPr>
          <w:p w:rsidR="00000000" w:rsidDel="00000000" w:rsidP="00000000" w:rsidRDefault="00000000" w:rsidRPr="00000000" w14:paraId="0000004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2">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4">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7">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9">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C">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4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4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4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1">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5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4">
            <w:pPr>
              <w:spacing w:line="240" w:lineRule="auto"/>
              <w:jc w:val="right"/>
              <w:rPr>
                <w:rFonts w:ascii="Calibri" w:cs="Calibri" w:eastAsia="Calibri" w:hAnsi="Calibri"/>
                <w:sz w:val="18"/>
                <w:szCs w:val="18"/>
              </w:rPr>
            </w:pPr>
            <w:r w:rsidDel="00000000" w:rsidR="00000000" w:rsidRPr="00000000">
              <w:rPr>
                <w:rtl w:val="0"/>
              </w:rPr>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5">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6">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11</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7">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58">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59">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A">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B">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D">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5F">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        Koostöökogu koosneb KOV-üksuste ja riigi keskvalitsuse esindajatest</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60">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61">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62">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63">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4">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bbe2c7" w:val="clear"/>
          </w:tcPr>
          <w:p w:rsidR="00000000" w:rsidDel="00000000" w:rsidP="00000000" w:rsidRDefault="00000000" w:rsidRPr="00000000" w14:paraId="0000006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7">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6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9ed6ae" w:val="clear"/>
          </w:tcPr>
          <w:p w:rsidR="00000000" w:rsidDel="00000000" w:rsidP="00000000" w:rsidRDefault="00000000" w:rsidRPr="00000000" w14:paraId="0000006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62%</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f1f4" w:val="clear"/>
          </w:tcPr>
          <w:p w:rsidR="00000000" w:rsidDel="00000000" w:rsidP="00000000" w:rsidRDefault="00000000" w:rsidRPr="00000000" w14:paraId="0000006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E">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7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1">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7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6">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8">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b0ddbd" w:val="clear"/>
          </w:tcPr>
          <w:p w:rsidR="00000000" w:rsidDel="00000000" w:rsidP="00000000" w:rsidRDefault="00000000" w:rsidRPr="00000000" w14:paraId="0000007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e4e7" w:val="clear"/>
          </w:tcPr>
          <w:p w:rsidR="00000000" w:rsidDel="00000000" w:rsidP="00000000" w:rsidRDefault="00000000" w:rsidRPr="00000000" w14:paraId="0000007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D">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7E">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7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8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3">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4">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85">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86">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7">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8">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9">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trHeight w:val="72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C">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        Koostöökogu koosneb KOV-üksuste ja regionaalsete partnerite esindajatest</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D">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8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8F">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9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1">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9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97476" w:val="clear"/>
          </w:tcPr>
          <w:p w:rsidR="00000000" w:rsidDel="00000000" w:rsidP="00000000" w:rsidRDefault="00000000" w:rsidRPr="00000000" w14:paraId="0000009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6">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e1f1e8" w:val="clear"/>
          </w:tcPr>
          <w:p w:rsidR="00000000" w:rsidDel="00000000" w:rsidP="00000000" w:rsidRDefault="00000000" w:rsidRPr="00000000" w14:paraId="0000009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9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15%</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B">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C">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9D">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9E">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9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0">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1">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2">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3">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5">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0" w:val="nil"/>
              <w:right w:color="000000" w:space="0" w:sz="0" w:val="nil"/>
            </w:tcBorders>
            <w:shd w:fill="85cc99" w:val="clear"/>
          </w:tcPr>
          <w:p w:rsidR="00000000" w:rsidDel="00000000" w:rsidP="00000000" w:rsidRDefault="00000000" w:rsidRPr="00000000" w14:paraId="000000A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8">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A">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B">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AD">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A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AF">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B0">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6</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1">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B2">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3">
            <w:pPr>
              <w:spacing w:line="240" w:lineRule="auto"/>
              <w:jc w:val="right"/>
              <w:rPr>
                <w:rFonts w:ascii="Calibri" w:cs="Calibri" w:eastAsia="Calibri" w:hAnsi="Calibri"/>
                <w:b w:val="1"/>
                <w:sz w:val="18"/>
                <w:szCs w:val="18"/>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4">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5">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6">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7">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8">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9">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A">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B">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C">
            <w:pPr>
              <w:spacing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BD">
            <w:pPr>
              <w:spacing w:line="240" w:lineRule="auto"/>
              <w:rPr>
                <w:rFonts w:ascii="Times New Roman" w:cs="Times New Roman" w:eastAsia="Times New Roman" w:hAnsi="Times New Roman"/>
                <w:sz w:val="20"/>
                <w:szCs w:val="20"/>
              </w:rPr>
            </w:pPr>
            <w:r w:rsidDel="00000000" w:rsidR="00000000" w:rsidRPr="00000000">
              <w:rPr>
                <w:rtl w:val="0"/>
              </w:rPr>
            </w:r>
          </w:p>
        </w:tc>
      </w:tr>
      <w:tr>
        <w:trPr>
          <w:trHeight w:val="960" w:hRule="atLeast"/>
        </w:trPr>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E">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       Koostöökogu koosneb KOV-üksuste, riigi keskvalitsuse ja regionaalsete partnerite esindajatest</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BF">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C0">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positiivne mõju</w:t>
            </w:r>
          </w:p>
        </w:tc>
        <w:tc>
          <w:tcPr>
            <w:tcBorders>
              <w:top w:color="000000" w:space="0" w:sz="0" w:val="nil"/>
              <w:left w:color="000000" w:space="0" w:sz="0" w:val="nil"/>
              <w:bottom w:color="9bc2e6" w:space="0" w:sz="4" w:val="single"/>
              <w:right w:color="000000" w:space="0" w:sz="0" w:val="nil"/>
            </w:tcBorders>
            <w:shd w:fill="ddebf7" w:val="clear"/>
          </w:tcPr>
          <w:p w:rsidR="00000000" w:rsidDel="00000000" w:rsidP="00000000" w:rsidRDefault="00000000" w:rsidRPr="00000000" w14:paraId="000000C1">
            <w:pPr>
              <w:spacing w:line="240" w:lineRule="auto"/>
              <w:rPr>
                <w:rFonts w:ascii="Calibri" w:cs="Calibri" w:eastAsia="Calibri" w:hAnsi="Calibri"/>
                <w:b w:val="1"/>
                <w:sz w:val="18"/>
                <w:szCs w:val="18"/>
              </w:rPr>
            </w:pPr>
            <w:r w:rsidDel="00000000" w:rsidR="00000000" w:rsidRPr="00000000">
              <w:rPr>
                <w:rFonts w:ascii="Arimo" w:cs="Arimo" w:eastAsia="Arimo" w:hAnsi="Arimo"/>
                <w:b w:val="1"/>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debf7" w:val="clear"/>
          </w:tcPr>
          <w:p w:rsidR="00000000" w:rsidDel="00000000" w:rsidP="00000000" w:rsidRDefault="00000000" w:rsidRPr="00000000" w14:paraId="000000C2">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Oluline negatiivne mõju</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3">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demokraatia ja subsidiaarsus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bbe2c7" w:val="clear"/>
          </w:tcPr>
          <w:p w:rsidR="00000000" w:rsidDel="00000000" w:rsidP="00000000" w:rsidRDefault="00000000" w:rsidRPr="00000000" w14:paraId="000000C5">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e7ea" w:val="clear"/>
          </w:tcPr>
          <w:p w:rsidR="00000000" w:rsidDel="00000000" w:rsidP="00000000" w:rsidRDefault="00000000" w:rsidRPr="00000000" w14:paraId="000000C7">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14%</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8">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juhtimisorganite otsustusvõime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w:t>
            </w:r>
          </w:p>
        </w:tc>
        <w:tc>
          <w:tcPr>
            <w:tcBorders>
              <w:top w:color="000000" w:space="0" w:sz="0" w:val="nil"/>
              <w:left w:color="000000" w:space="0" w:sz="0" w:val="nil"/>
              <w:bottom w:color="000000" w:space="0" w:sz="0" w:val="nil"/>
              <w:right w:color="000000" w:space="0" w:sz="0" w:val="nil"/>
            </w:tcBorders>
            <w:shd w:fill="d9eee1" w:val="clear"/>
          </w:tcPr>
          <w:p w:rsidR="00000000" w:rsidDel="00000000" w:rsidP="00000000" w:rsidRDefault="00000000" w:rsidRPr="00000000" w14:paraId="000000C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f1f4" w:val="clear"/>
          </w:tcPr>
          <w:p w:rsidR="00000000" w:rsidDel="00000000" w:rsidP="00000000" w:rsidRDefault="00000000" w:rsidRPr="00000000" w14:paraId="000000CC">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D">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6. haldussuutlikkus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C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C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0">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D1">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2">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7. ökonoomsus ja kuluefektiivsus</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3">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63be7b" w:val="clear"/>
          </w:tcPr>
          <w:p w:rsidR="00000000" w:rsidDel="00000000" w:rsidP="00000000" w:rsidRDefault="00000000" w:rsidRPr="00000000" w14:paraId="000000D4">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5">
            <w:pPr>
              <w:spacing w:line="240" w:lineRule="auto"/>
              <w:jc w:val="right"/>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D6">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7">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 regioonide arenguvõime</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8">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w:t>
            </w:r>
          </w:p>
        </w:tc>
        <w:tc>
          <w:tcPr>
            <w:tcBorders>
              <w:top w:color="000000" w:space="0" w:sz="0" w:val="nil"/>
              <w:left w:color="000000" w:space="0" w:sz="0" w:val="nil"/>
              <w:bottom w:color="000000" w:space="0" w:sz="0" w:val="nil"/>
              <w:right w:color="000000" w:space="0" w:sz="0" w:val="nil"/>
            </w:tcBorders>
            <w:shd w:fill="7dc991" w:val="clear"/>
          </w:tcPr>
          <w:p w:rsidR="00000000" w:rsidDel="00000000" w:rsidP="00000000" w:rsidRDefault="00000000" w:rsidRPr="00000000" w14:paraId="000000D9">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83%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A">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ce4e7" w:val="clear"/>
          </w:tcPr>
          <w:p w:rsidR="00000000" w:rsidDel="00000000" w:rsidP="00000000" w:rsidRDefault="00000000" w:rsidRPr="00000000" w14:paraId="000000DB">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17%</w:t>
            </w:r>
          </w:p>
        </w:tc>
      </w:tr>
      <w:tr>
        <w:trPr>
          <w:trHeight w:val="240" w:hRule="atLeast"/>
        </w:trPr>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C">
            <w:pPr>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9. piirkondlik identiteet</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D">
            <w:pPr>
              <w:spacing w:line="240" w:lineRule="auto"/>
              <w:rPr>
                <w:rFonts w:ascii="Calibri" w:cs="Calibri" w:eastAsia="Calibri" w:hAnsi="Calibri"/>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cfcff" w:val="clear"/>
          </w:tcPr>
          <w:p w:rsidR="00000000" w:rsidDel="00000000" w:rsidP="00000000" w:rsidRDefault="00000000" w:rsidRPr="00000000" w14:paraId="000000DE">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0%</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DF">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0" w:val="nil"/>
              <w:right w:color="000000" w:space="0" w:sz="0" w:val="nil"/>
            </w:tcBorders>
            <w:shd w:fill="f8696b" w:val="clear"/>
          </w:tcPr>
          <w:p w:rsidR="00000000" w:rsidDel="00000000" w:rsidP="00000000" w:rsidRDefault="00000000" w:rsidRPr="00000000" w14:paraId="000000E0">
            <w:pPr>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100%</w:t>
            </w:r>
          </w:p>
        </w:tc>
      </w:tr>
      <w:tr>
        <w:trPr>
          <w:trHeight w:val="240" w:hRule="atLeast"/>
        </w:trPr>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E1">
            <w:pPr>
              <w:spacing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Kokku</w:t>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E2">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13</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3">
            <w:pPr>
              <w:spacing w:line="240" w:lineRule="auto"/>
              <w:jc w:val="right"/>
              <w:rPr>
                <w:rFonts w:ascii="Calibri" w:cs="Calibri" w:eastAsia="Calibri" w:hAnsi="Calibri"/>
                <w:b w:val="1"/>
                <w:sz w:val="18"/>
                <w:szCs w:val="18"/>
              </w:rPr>
            </w:pPr>
            <w:r w:rsidDel="00000000" w:rsidR="00000000" w:rsidRPr="00000000">
              <w:rPr>
                <w:rtl w:val="0"/>
              </w:rPr>
            </w:r>
          </w:p>
        </w:tc>
        <w:tc>
          <w:tcPr>
            <w:tcBorders>
              <w:top w:color="9bc2e6" w:space="0" w:sz="4" w:val="single"/>
              <w:left w:color="000000" w:space="0" w:sz="0" w:val="nil"/>
              <w:bottom w:color="000000" w:space="0" w:sz="0" w:val="nil"/>
              <w:right w:color="000000" w:space="0" w:sz="0" w:val="nil"/>
            </w:tcBorders>
            <w:shd w:fill="ddebf7" w:val="clear"/>
          </w:tcPr>
          <w:p w:rsidR="00000000" w:rsidDel="00000000" w:rsidP="00000000" w:rsidRDefault="00000000" w:rsidRPr="00000000" w14:paraId="000000E4">
            <w:pPr>
              <w:spacing w:line="240" w:lineRule="auto"/>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4</w:t>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E5">
            <w:pPr>
              <w:spacing w:line="240" w:lineRule="auto"/>
              <w:jc w:val="right"/>
              <w:rPr>
                <w:rFonts w:ascii="Calibri" w:cs="Calibri" w:eastAsia="Calibri" w:hAnsi="Calibri"/>
                <w:b w:val="1"/>
                <w:sz w:val="18"/>
                <w:szCs w:val="18"/>
              </w:rPr>
            </w:pPr>
            <w:r w:rsidDel="00000000" w:rsidR="00000000" w:rsidRPr="00000000">
              <w:rPr>
                <w:rtl w:val="0"/>
              </w:rPr>
            </w:r>
          </w:p>
        </w:tc>
      </w:tr>
    </w:tbl>
    <w:p w:rsidR="00000000" w:rsidDel="00000000" w:rsidP="00000000" w:rsidRDefault="00000000" w:rsidRPr="00000000" w14:paraId="000000E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E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NKinVqCXi51x/8yZ6v+tHVG3nQ==">AMUW2mX5Ptlt/KK0R6s7uiLW8VCw5bPbOgXsfS5eNgzcT33PMQ3ezj1ol+Ldc9SXweXQNBlDv0dbEOBJikUsX6gpI8UQjzUERwm4bmQCCCE5HqYwceTIDN8=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